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69E3B">
      <w:pPr>
        <w:spacing w:afterLines="100"/>
        <w:rPr>
          <w:rFonts w:ascii="Times New Roman" w:hAnsi="Times New Roman" w:eastAsia="仿宋_GB2312"/>
          <w:kern w:val="0"/>
          <w:sz w:val="32"/>
          <w:szCs w:val="32"/>
        </w:rPr>
      </w:pPr>
      <w:r>
        <w:rPr>
          <w:rFonts w:hint="eastAsia" w:ascii="黑体" w:hAnsi="黑体" w:eastAsia="黑体" w:cs="黑体"/>
          <w:kern w:val="0"/>
          <w:sz w:val="32"/>
          <w:szCs w:val="32"/>
        </w:rPr>
        <w:t>附件</w:t>
      </w:r>
      <w:r>
        <w:rPr>
          <w:rFonts w:ascii="Times New Roman" w:hAnsi="Times New Roman" w:eastAsia="仿宋_GB2312"/>
          <w:kern w:val="0"/>
          <w:sz w:val="32"/>
          <w:szCs w:val="32"/>
        </w:rPr>
        <w:t>1</w:t>
      </w:r>
    </w:p>
    <w:p w14:paraId="7382DD6B">
      <w:pPr>
        <w:rPr>
          <w:rFonts w:ascii="Times New Roman" w:hAnsi="Times New Roman" w:eastAsia="方正小标宋简体"/>
          <w:sz w:val="48"/>
          <w:szCs w:val="48"/>
        </w:rPr>
      </w:pPr>
    </w:p>
    <w:p w14:paraId="2E445A75">
      <w:pPr>
        <w:rPr>
          <w:rFonts w:ascii="Times New Roman" w:hAnsi="Times New Roman" w:eastAsia="方正小标宋简体"/>
          <w:sz w:val="48"/>
          <w:szCs w:val="48"/>
        </w:rPr>
      </w:pPr>
    </w:p>
    <w:p w14:paraId="3F204996">
      <w:pPr>
        <w:rPr>
          <w:rFonts w:ascii="Times New Roman" w:hAnsi="Times New Roman" w:eastAsia="方正小标宋简体"/>
          <w:sz w:val="48"/>
          <w:szCs w:val="48"/>
        </w:rPr>
      </w:pPr>
    </w:p>
    <w:p w14:paraId="6F9A32DF">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3707EB40">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2</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2F58FE27">
      <w:pPr>
        <w:jc w:val="center"/>
        <w:rPr>
          <w:rFonts w:ascii="Times New Roman" w:hAnsi="Times New Roman" w:eastAsia="黑体"/>
          <w:sz w:val="32"/>
          <w:szCs w:val="32"/>
        </w:rPr>
      </w:pPr>
    </w:p>
    <w:p w14:paraId="30EE0AB2">
      <w:pPr>
        <w:jc w:val="center"/>
        <w:rPr>
          <w:rFonts w:ascii="Times New Roman" w:hAnsi="Times New Roman" w:eastAsia="黑体"/>
          <w:sz w:val="32"/>
          <w:szCs w:val="32"/>
        </w:rPr>
      </w:pPr>
      <w:bookmarkStart w:id="0" w:name="_GoBack"/>
      <w:bookmarkEnd w:id="0"/>
    </w:p>
    <w:p w14:paraId="7F1297D3">
      <w:pPr>
        <w:jc w:val="center"/>
        <w:rPr>
          <w:rFonts w:ascii="Times New Roman" w:hAnsi="Times New Roman" w:eastAsia="黑体"/>
          <w:sz w:val="32"/>
          <w:szCs w:val="32"/>
        </w:rPr>
      </w:pPr>
    </w:p>
    <w:p w14:paraId="7897B8DA">
      <w:pPr>
        <w:jc w:val="center"/>
        <w:rPr>
          <w:rFonts w:ascii="Times New Roman" w:hAnsi="Times New Roman" w:eastAsia="黑体"/>
          <w:sz w:val="32"/>
          <w:szCs w:val="32"/>
        </w:rPr>
      </w:pPr>
    </w:p>
    <w:p w14:paraId="5327558D">
      <w:pPr>
        <w:rPr>
          <w:rFonts w:ascii="Times New Roman" w:hAnsi="Times New Roman" w:eastAsia="黑体"/>
          <w:sz w:val="32"/>
          <w:szCs w:val="32"/>
        </w:rPr>
      </w:pPr>
    </w:p>
    <w:p w14:paraId="57E2A9A4">
      <w:pPr>
        <w:jc w:val="center"/>
        <w:rPr>
          <w:rFonts w:ascii="Times New Roman" w:hAnsi="Times New Roman"/>
          <w:sz w:val="36"/>
          <w:szCs w:val="36"/>
        </w:rPr>
      </w:pPr>
    </w:p>
    <w:p w14:paraId="645C8448">
      <w:pPr>
        <w:jc w:val="center"/>
        <w:rPr>
          <w:rFonts w:ascii="Times New Roman" w:hAnsi="Times New Roman"/>
          <w:sz w:val="36"/>
          <w:szCs w:val="36"/>
        </w:rPr>
      </w:pPr>
    </w:p>
    <w:p w14:paraId="6299470E">
      <w:pPr>
        <w:jc w:val="center"/>
        <w:rPr>
          <w:rFonts w:ascii="Times New Roman" w:hAnsi="Times New Roman"/>
          <w:sz w:val="36"/>
          <w:szCs w:val="36"/>
        </w:rPr>
      </w:pPr>
    </w:p>
    <w:p w14:paraId="20D235C5">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val="en-US" w:eastAsia="zh-CN"/>
        </w:rPr>
        <w:t>衡阳市公路建设养护中心石鼓分中心</w:t>
      </w:r>
    </w:p>
    <w:p w14:paraId="17A25A62">
      <w:pPr>
        <w:jc w:val="center"/>
        <w:rPr>
          <w:rFonts w:ascii="Times New Roman" w:hAnsi="Times New Roman" w:eastAsia="黑体"/>
          <w:sz w:val="36"/>
          <w:szCs w:val="36"/>
        </w:rPr>
      </w:pPr>
    </w:p>
    <w:p w14:paraId="2FD7636F">
      <w:pPr>
        <w:jc w:val="center"/>
        <w:rPr>
          <w:rFonts w:ascii="Times New Roman" w:hAnsi="Times New Roman" w:eastAsia="黑体"/>
          <w:sz w:val="36"/>
          <w:szCs w:val="36"/>
        </w:rPr>
      </w:pPr>
    </w:p>
    <w:p w14:paraId="22E9624A">
      <w:pPr>
        <w:jc w:val="center"/>
        <w:rPr>
          <w:rFonts w:ascii="Times New Roman" w:hAnsi="Times New Roman" w:eastAsia="黑体"/>
          <w:sz w:val="32"/>
          <w:szCs w:val="32"/>
        </w:rPr>
      </w:pPr>
    </w:p>
    <w:p w14:paraId="27B20A9D">
      <w:pPr>
        <w:jc w:val="center"/>
        <w:rPr>
          <w:rFonts w:ascii="Times New Roman" w:hAnsi="Times New Roman" w:eastAsia="黑体"/>
          <w:sz w:val="32"/>
          <w:szCs w:val="32"/>
        </w:rPr>
      </w:pPr>
    </w:p>
    <w:p w14:paraId="3B808423">
      <w:pPr>
        <w:spacing w:line="600" w:lineRule="exact"/>
        <w:rPr>
          <w:rFonts w:ascii="Times New Roman" w:hAnsi="Times New Roman" w:eastAsia="方正小标宋简体"/>
          <w:sz w:val="44"/>
          <w:szCs w:val="44"/>
        </w:rPr>
      </w:pPr>
    </w:p>
    <w:p w14:paraId="14DCC24C">
      <w:pPr>
        <w:spacing w:line="600" w:lineRule="exact"/>
        <w:jc w:val="center"/>
        <w:rPr>
          <w:rFonts w:ascii="Times New Roman" w:hAnsi="Times New Roman" w:eastAsia="方正小标宋简体"/>
          <w:sz w:val="44"/>
          <w:szCs w:val="44"/>
        </w:rPr>
      </w:pPr>
    </w:p>
    <w:p w14:paraId="615A1574">
      <w:pPr>
        <w:spacing w:line="600" w:lineRule="exact"/>
        <w:jc w:val="center"/>
        <w:rPr>
          <w:rFonts w:ascii="Times New Roman" w:hAnsi="Times New Roman" w:eastAsia="方正小标宋简体"/>
          <w:sz w:val="44"/>
          <w:szCs w:val="44"/>
        </w:rPr>
      </w:pPr>
    </w:p>
    <w:p w14:paraId="224BF9D4">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753EBDA7">
      <w:pPr>
        <w:pStyle w:val="4"/>
        <w:widowControl/>
        <w:numPr>
          <w:ilvl w:val="0"/>
          <w:numId w:val="1"/>
        </w:numPr>
        <w:ind w:firstLine="640"/>
        <w:rPr>
          <w:rFonts w:eastAsia="黑体"/>
          <w:sz w:val="32"/>
          <w:szCs w:val="32"/>
        </w:rPr>
      </w:pPr>
      <w:r>
        <w:rPr>
          <w:rFonts w:eastAsia="黑体"/>
          <w:sz w:val="32"/>
          <w:szCs w:val="32"/>
        </w:rPr>
        <w:t>部门、单位基本情况</w:t>
      </w:r>
    </w:p>
    <w:p w14:paraId="09CC1E08">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年度我局机关设</w:t>
      </w: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lang w:eastAsia="zh-CN"/>
        </w:rPr>
        <w:t>个内设机构，实有编制</w:t>
      </w:r>
      <w:r>
        <w:rPr>
          <w:rFonts w:hint="eastAsia" w:ascii="Times New Roman" w:hAnsi="Times New Roman" w:eastAsia="仿宋_GB2312"/>
          <w:sz w:val="32"/>
          <w:szCs w:val="32"/>
          <w:lang w:val="en-US" w:eastAsia="zh-CN"/>
        </w:rPr>
        <w:t>39</w:t>
      </w:r>
      <w:r>
        <w:rPr>
          <w:rFonts w:hint="eastAsia" w:ascii="Times New Roman" w:hAnsi="Times New Roman" w:eastAsia="仿宋_GB2312"/>
          <w:sz w:val="32"/>
          <w:szCs w:val="32"/>
          <w:lang w:eastAsia="zh-CN"/>
        </w:rPr>
        <w:t>名，现有在职职工</w:t>
      </w:r>
      <w:r>
        <w:rPr>
          <w:rFonts w:hint="eastAsia" w:ascii="Times New Roman" w:hAnsi="Times New Roman" w:eastAsia="仿宋_GB2312"/>
          <w:sz w:val="32"/>
          <w:szCs w:val="32"/>
          <w:lang w:val="en-US" w:eastAsia="zh-CN"/>
        </w:rPr>
        <w:t>33</w:t>
      </w:r>
      <w:r>
        <w:rPr>
          <w:rFonts w:hint="eastAsia" w:ascii="Times New Roman" w:hAnsi="Times New Roman" w:eastAsia="仿宋_GB2312"/>
          <w:sz w:val="32"/>
          <w:szCs w:val="32"/>
          <w:lang w:eastAsia="zh-CN"/>
        </w:rPr>
        <w:t>名，退休职工</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lang w:eastAsia="zh-CN"/>
        </w:rPr>
        <w:t>名。</w:t>
      </w:r>
    </w:p>
    <w:p w14:paraId="1D8C313A">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主要职能：</w:t>
      </w:r>
    </w:p>
    <w:p w14:paraId="784E297C">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1.贯彻执行国家和省、市关于公路建设、养护、管理工作的法律、规章和方针政策，承担所在行政区域内国省干线公路和农村公路、桥梁的建设、养护和管理职责。</w:t>
      </w:r>
    </w:p>
    <w:p w14:paraId="4343B0DC">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2.负责编制并组织实施所在行政区域内管养公路的发展规划和养护计划。</w:t>
      </w:r>
    </w:p>
    <w:p w14:paraId="674BC272">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3.负责所管养公路及附属设施的建设、日常养护、改造升级；负责所管养公路的绿化；负责所管养公路大中修工程、危桥改造、公路安防工程、公路水毁抢修、灾害防治和灾后重建等工作。</w:t>
      </w:r>
    </w:p>
    <w:p w14:paraId="6205C35C">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4.协助所管养公路、桥梁的路政管理，参与、协助公路沿线户外广告设置管理；协助查处侵占公路用地、破坏公路设施等违法、违规、违章行为，依法维护公路产权。</w:t>
      </w:r>
    </w:p>
    <w:p w14:paraId="2A4DBA08">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5.负责公路建设、养护新技术、新工艺、新材料、新设备的开发、推广和应用工作。</w:t>
      </w:r>
    </w:p>
    <w:p w14:paraId="04DAB8AC">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6.负责所管养公路、桥梁的交通战备工作。</w:t>
      </w:r>
    </w:p>
    <w:p w14:paraId="5CDAC893">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7.负责本单位干部职工人事、机构编制、劳动工资、教育培训、退休人员管理等工作；负责本单位党群和纪检监察工作；负责本单位精神文明建设和职工队伍建设。</w:t>
      </w:r>
    </w:p>
    <w:p w14:paraId="7ABB894C">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8.承担衡阳市公路建设养护中心和当地党委、政府交办的其它工作任务。</w:t>
      </w:r>
    </w:p>
    <w:p w14:paraId="097DA347">
      <w:pPr>
        <w:pStyle w:val="4"/>
        <w:widowControl/>
        <w:ind w:firstLine="640"/>
        <w:rPr>
          <w:rFonts w:eastAsia="黑体"/>
          <w:sz w:val="32"/>
          <w:szCs w:val="32"/>
        </w:rPr>
      </w:pPr>
      <w:r>
        <w:rPr>
          <w:rFonts w:eastAsia="黑体"/>
          <w:sz w:val="32"/>
          <w:szCs w:val="32"/>
        </w:rPr>
        <w:t>二、一般公共预算支出情况</w:t>
      </w:r>
    </w:p>
    <w:p w14:paraId="6D5E57D7">
      <w:pPr>
        <w:pStyle w:val="4"/>
        <w:widowControl/>
        <w:ind w:firstLine="643"/>
        <w:rPr>
          <w:rFonts w:eastAsia="楷体"/>
          <w:b/>
          <w:sz w:val="32"/>
          <w:szCs w:val="32"/>
        </w:rPr>
      </w:pPr>
      <w:r>
        <w:rPr>
          <w:rFonts w:eastAsia="楷体"/>
          <w:b/>
          <w:sz w:val="32"/>
          <w:szCs w:val="32"/>
        </w:rPr>
        <w:t>（一）基本支出情况</w:t>
      </w:r>
    </w:p>
    <w:p w14:paraId="1DA461D4">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基本支出</w:t>
      </w:r>
      <w:r>
        <w:rPr>
          <w:rFonts w:hint="eastAsia" w:ascii="Times New Roman" w:hAnsi="Times New Roman" w:eastAsia="仿宋_GB2312"/>
          <w:sz w:val="32"/>
          <w:szCs w:val="32"/>
          <w:lang w:val="en-US" w:eastAsia="zh-CN"/>
        </w:rPr>
        <w:t>共计682.61万元，较上年增加17.28%，主要用于</w:t>
      </w:r>
      <w:r>
        <w:rPr>
          <w:rFonts w:hint="eastAsia" w:ascii="Times New Roman" w:hAnsi="Times New Roman" w:eastAsia="仿宋_GB2312"/>
          <w:sz w:val="32"/>
          <w:szCs w:val="32"/>
          <w:lang w:eastAsia="zh-CN"/>
        </w:rPr>
        <w:t>工资福利支出、商品和服务支出。</w:t>
      </w:r>
    </w:p>
    <w:p w14:paraId="1688F42B">
      <w:pPr>
        <w:pStyle w:val="4"/>
        <w:widowControl/>
        <w:ind w:firstLine="643"/>
        <w:rPr>
          <w:rFonts w:eastAsia="楷体"/>
          <w:b/>
          <w:sz w:val="32"/>
          <w:szCs w:val="32"/>
        </w:rPr>
      </w:pPr>
      <w:r>
        <w:rPr>
          <w:rFonts w:eastAsia="楷体"/>
          <w:b/>
          <w:sz w:val="32"/>
          <w:szCs w:val="32"/>
        </w:rPr>
        <w:t>（二）项目支出情况</w:t>
      </w:r>
    </w:p>
    <w:p w14:paraId="10D8A303">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项目支出</w:t>
      </w:r>
      <w:r>
        <w:rPr>
          <w:rFonts w:hint="eastAsia" w:ascii="Times New Roman" w:hAnsi="Times New Roman" w:eastAsia="仿宋_GB2312"/>
          <w:sz w:val="32"/>
          <w:szCs w:val="32"/>
          <w:lang w:val="en-US" w:eastAsia="zh-CN"/>
        </w:rPr>
        <w:t>共计358.26万元，较上年增加183.95%，主要用于农村公路养护工程、农村公路日常养护、安防工程等。</w:t>
      </w:r>
    </w:p>
    <w:p w14:paraId="4CD9CED0">
      <w:pPr>
        <w:widowControl/>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三</w:t>
      </w:r>
      <w:r>
        <w:rPr>
          <w:rFonts w:ascii="Times New Roman" w:hAnsi="Times New Roman" w:eastAsia="黑体"/>
          <w:sz w:val="32"/>
          <w:szCs w:val="32"/>
        </w:rPr>
        <w:t>、部门整体支出绩效情况</w:t>
      </w:r>
    </w:p>
    <w:p w14:paraId="19FF9C44">
      <w:pPr>
        <w:widowControl/>
        <w:ind w:firstLine="640" w:firstLineChars="200"/>
        <w:rPr>
          <w:rFonts w:hint="eastAsia" w:ascii="Times New Roman" w:hAnsi="Times New Roman" w:eastAsia="仿宋"/>
          <w:color w:val="000000"/>
          <w:sz w:val="32"/>
          <w:szCs w:val="32"/>
        </w:rPr>
      </w:pPr>
      <w:r>
        <w:rPr>
          <w:rFonts w:hint="eastAsia" w:ascii="Times New Roman" w:hAnsi="Times New Roman" w:eastAsia="仿宋"/>
          <w:color w:val="000000"/>
          <w:sz w:val="32"/>
          <w:szCs w:val="32"/>
        </w:rPr>
        <w:t>202</w:t>
      </w:r>
      <w:r>
        <w:rPr>
          <w:rFonts w:hint="eastAsia" w:ascii="Times New Roman" w:hAnsi="Times New Roman" w:eastAsia="仿宋"/>
          <w:color w:val="000000"/>
          <w:sz w:val="32"/>
          <w:szCs w:val="32"/>
          <w:lang w:val="en-US" w:eastAsia="zh-CN"/>
        </w:rPr>
        <w:t>2</w:t>
      </w:r>
      <w:r>
        <w:rPr>
          <w:rFonts w:hint="eastAsia" w:ascii="Times New Roman" w:hAnsi="Times New Roman" w:eastAsia="仿宋"/>
          <w:color w:val="000000"/>
          <w:sz w:val="32"/>
          <w:szCs w:val="32"/>
        </w:rPr>
        <w:t>年，在市公路建设养护中心、区委区政府的正确领导下，认真贯彻落实全市公路工作会议精神和区委经济工作会议精神，认真履职，求真务实，开拓创新，圆满地完成了年初制定的各项目标任务</w:t>
      </w:r>
      <w:r>
        <w:rPr>
          <w:rFonts w:hint="eastAsia" w:ascii="Times New Roman" w:hAnsi="Times New Roman" w:eastAsia="仿宋_GB2312"/>
          <w:sz w:val="32"/>
          <w:szCs w:val="32"/>
          <w:lang w:eastAsia="zh-CN"/>
        </w:rPr>
        <w:t>。</w:t>
      </w:r>
      <w:r>
        <w:rPr>
          <w:rFonts w:hint="eastAsia" w:ascii="Times New Roman" w:hAnsi="Times New Roman" w:eastAsia="仿宋"/>
          <w:color w:val="000000"/>
          <w:sz w:val="32"/>
          <w:szCs w:val="32"/>
        </w:rPr>
        <w:t>现将202</w:t>
      </w:r>
      <w:r>
        <w:rPr>
          <w:rFonts w:hint="eastAsia" w:ascii="Times New Roman" w:hAnsi="Times New Roman" w:eastAsia="仿宋"/>
          <w:color w:val="000000"/>
          <w:sz w:val="32"/>
          <w:szCs w:val="32"/>
          <w:lang w:val="en-US" w:eastAsia="zh-CN"/>
        </w:rPr>
        <w:t>2</w:t>
      </w:r>
      <w:r>
        <w:rPr>
          <w:rFonts w:hint="eastAsia" w:ascii="Times New Roman" w:hAnsi="Times New Roman" w:eastAsia="仿宋"/>
          <w:color w:val="000000"/>
          <w:sz w:val="32"/>
          <w:szCs w:val="32"/>
        </w:rPr>
        <w:t>年度整体支出状况的概述和分析如下：</w:t>
      </w:r>
    </w:p>
    <w:p w14:paraId="5ABA10C5">
      <w:pPr>
        <w:widowControl/>
        <w:ind w:firstLine="640" w:firstLineChars="200"/>
        <w:rPr>
          <w:rFonts w:hint="eastAsia" w:ascii="Times New Roman" w:hAnsi="Times New Roman" w:eastAsia="仿宋"/>
          <w:color w:val="000000"/>
          <w:sz w:val="32"/>
          <w:szCs w:val="32"/>
        </w:rPr>
      </w:pPr>
      <w:r>
        <w:rPr>
          <w:rFonts w:hint="eastAsia" w:ascii="Times New Roman" w:hAnsi="Times New Roman" w:eastAsia="仿宋"/>
          <w:color w:val="000000"/>
          <w:sz w:val="32"/>
          <w:szCs w:val="32"/>
        </w:rPr>
        <w:t>　　（一）经济效益评价</w:t>
      </w:r>
    </w:p>
    <w:p w14:paraId="42957BD9">
      <w:pPr>
        <w:widowControl/>
        <w:ind w:firstLine="640" w:firstLineChars="200"/>
        <w:rPr>
          <w:rFonts w:hint="eastAsia" w:ascii="Times New Roman" w:hAnsi="Times New Roman" w:eastAsia="仿宋"/>
          <w:color w:val="000000"/>
          <w:sz w:val="32"/>
          <w:szCs w:val="32"/>
        </w:rPr>
      </w:pPr>
      <w:r>
        <w:rPr>
          <w:rFonts w:hint="eastAsia" w:ascii="Times New Roman" w:hAnsi="Times New Roman" w:eastAsia="仿宋"/>
          <w:color w:val="000000"/>
          <w:sz w:val="32"/>
          <w:szCs w:val="32"/>
        </w:rPr>
        <w:t>　　预算执行方面，支出总额控制在预算总额以内，本年部门预算未进行预算相关事项的调整；“三公”经费总体控制较好，未超本年预算。预算管理方面，制度执行总体较为有效，仍需进一步强化；资金使用管理需进一步加强。资产管理方面，建立了资产管理制度，定期进行了盘点和资产清理，总体执行较好。</w:t>
      </w:r>
    </w:p>
    <w:p w14:paraId="7E7B01B4">
      <w:pPr>
        <w:widowControl/>
        <w:ind w:firstLine="640" w:firstLineChars="200"/>
        <w:rPr>
          <w:rFonts w:hint="eastAsia" w:ascii="Times New Roman" w:hAnsi="Times New Roman" w:eastAsia="仿宋"/>
          <w:color w:val="000000"/>
          <w:sz w:val="32"/>
          <w:szCs w:val="32"/>
        </w:rPr>
      </w:pPr>
      <w:r>
        <w:rPr>
          <w:rFonts w:hint="eastAsia" w:ascii="Times New Roman" w:hAnsi="Times New Roman" w:eastAsia="仿宋"/>
          <w:color w:val="000000"/>
          <w:sz w:val="32"/>
          <w:szCs w:val="32"/>
        </w:rPr>
        <w:t>　　（二）效率性评价和有效性评价</w:t>
      </w:r>
    </w:p>
    <w:p w14:paraId="43CF1CF1">
      <w:pPr>
        <w:widowControl/>
        <w:ind w:firstLine="640" w:firstLineChars="200"/>
        <w:rPr>
          <w:rFonts w:ascii="Times New Roman" w:hAnsi="Times New Roman" w:eastAsia="仿宋"/>
          <w:color w:val="000000"/>
          <w:sz w:val="32"/>
          <w:szCs w:val="32"/>
        </w:rPr>
      </w:pPr>
      <w:r>
        <w:rPr>
          <w:rFonts w:hint="eastAsia" w:ascii="Times New Roman" w:hAnsi="Times New Roman" w:eastAsia="仿宋"/>
          <w:color w:val="000000"/>
          <w:sz w:val="32"/>
          <w:szCs w:val="32"/>
        </w:rPr>
        <w:t>　　</w:t>
      </w:r>
      <w:r>
        <w:rPr>
          <w:rFonts w:hint="eastAsia" w:ascii="Times New Roman" w:hAnsi="Times New Roman" w:eastAsia="仿宋"/>
          <w:color w:val="000000"/>
          <w:sz w:val="32"/>
          <w:szCs w:val="32"/>
          <w:lang w:val="en-US" w:eastAsia="zh-CN"/>
        </w:rPr>
        <w:t>2022年以来</w:t>
      </w:r>
      <w:r>
        <w:rPr>
          <w:rFonts w:hint="eastAsia" w:ascii="Times New Roman" w:hAnsi="Times New Roman" w:eastAsia="仿宋"/>
          <w:color w:val="000000"/>
          <w:sz w:val="32"/>
          <w:szCs w:val="32"/>
        </w:rPr>
        <w:t>国省干线路况水平稳步提升，农路养护实现全区覆盖，日常养护、预防性养护力度加大，农村公路安防（民生实事）工程如期完成；党建工作深入开展，党风廉政建设“两个责任”扎实推进；安全生产、综治、信访等底线工作态势平稳</w:t>
      </w:r>
      <w:r>
        <w:rPr>
          <w:rFonts w:hint="eastAsia" w:ascii="Times New Roman" w:hAnsi="Times New Roman" w:eastAsia="仿宋"/>
          <w:color w:val="000000"/>
          <w:sz w:val="32"/>
          <w:szCs w:val="32"/>
          <w:lang w:eastAsia="zh-CN"/>
        </w:rPr>
        <w:t>，</w:t>
      </w:r>
      <w:r>
        <w:rPr>
          <w:rFonts w:hint="eastAsia" w:ascii="Times New Roman" w:hAnsi="Times New Roman" w:eastAsia="仿宋"/>
          <w:color w:val="000000"/>
          <w:sz w:val="32"/>
          <w:szCs w:val="32"/>
        </w:rPr>
        <w:t>社会公众或服务对象满意度</w:t>
      </w:r>
      <w:r>
        <w:rPr>
          <w:rFonts w:hint="eastAsia" w:ascii="Times New Roman" w:hAnsi="Times New Roman" w:eastAsia="仿宋"/>
          <w:color w:val="000000"/>
          <w:sz w:val="32"/>
          <w:szCs w:val="32"/>
          <w:lang w:val="en-US" w:eastAsia="zh-CN"/>
        </w:rPr>
        <w:t>持续提升</w:t>
      </w:r>
      <w:r>
        <w:rPr>
          <w:rFonts w:hint="eastAsia" w:ascii="Times New Roman" w:hAnsi="Times New Roman" w:eastAsia="仿宋"/>
          <w:color w:val="000000"/>
          <w:sz w:val="32"/>
          <w:szCs w:val="32"/>
        </w:rPr>
        <w:t>。</w:t>
      </w:r>
    </w:p>
    <w:p w14:paraId="316ADCDF">
      <w:pPr>
        <w:pStyle w:val="4"/>
        <w:widowControl/>
        <w:ind w:firstLine="640"/>
        <w:rPr>
          <w:rFonts w:eastAsia="黑体"/>
          <w:sz w:val="32"/>
          <w:szCs w:val="32"/>
        </w:rPr>
      </w:pPr>
      <w:r>
        <w:rPr>
          <w:rFonts w:hint="eastAsia" w:eastAsia="黑体"/>
          <w:sz w:val="32"/>
          <w:szCs w:val="32"/>
          <w:lang w:val="en-US" w:eastAsia="zh-CN"/>
        </w:rPr>
        <w:t>四</w:t>
      </w:r>
      <w:r>
        <w:rPr>
          <w:rFonts w:eastAsia="黑体"/>
          <w:sz w:val="32"/>
          <w:szCs w:val="32"/>
        </w:rPr>
        <w:t>、存在的问题及原因分析</w:t>
      </w:r>
    </w:p>
    <w:p w14:paraId="21A811B1">
      <w:pPr>
        <w:pStyle w:val="4"/>
        <w:widowControl/>
        <w:ind w:firstLine="640"/>
        <w:rPr>
          <w:rFonts w:hint="default" w:eastAsia="仿宋"/>
          <w:sz w:val="32"/>
          <w:szCs w:val="32"/>
          <w:lang w:val="en-US" w:eastAsia="zh-CN"/>
        </w:rPr>
      </w:pPr>
      <w:r>
        <w:rPr>
          <w:rFonts w:hint="eastAsia" w:eastAsia="仿宋"/>
          <w:sz w:val="32"/>
          <w:szCs w:val="32"/>
          <w:lang w:eastAsia="zh-CN"/>
        </w:rPr>
        <w:t>（</w:t>
      </w:r>
      <w:r>
        <w:rPr>
          <w:rFonts w:hint="eastAsia" w:eastAsia="仿宋"/>
          <w:sz w:val="32"/>
          <w:szCs w:val="32"/>
          <w:lang w:val="en-US" w:eastAsia="zh-CN"/>
        </w:rPr>
        <w:t>一</w:t>
      </w:r>
      <w:r>
        <w:rPr>
          <w:rFonts w:hint="eastAsia" w:eastAsia="仿宋"/>
          <w:sz w:val="32"/>
          <w:szCs w:val="32"/>
          <w:lang w:eastAsia="zh-CN"/>
        </w:rPr>
        <w:t>）</w:t>
      </w:r>
      <w:r>
        <w:rPr>
          <w:rFonts w:hint="eastAsia" w:eastAsia="仿宋"/>
          <w:sz w:val="32"/>
          <w:szCs w:val="32"/>
        </w:rPr>
        <w:t>人员经费足额保障仍有差距。一方面由于基本支出中日常公用经费保障不足，造成部门预算编制与实际执行存在一定脱节和偏差</w:t>
      </w:r>
      <w:r>
        <w:rPr>
          <w:rFonts w:hint="eastAsia" w:eastAsia="仿宋"/>
          <w:sz w:val="32"/>
          <w:szCs w:val="32"/>
          <w:lang w:eastAsia="zh-CN"/>
        </w:rPr>
        <w:t>；</w:t>
      </w:r>
      <w:r>
        <w:rPr>
          <w:rFonts w:hint="eastAsia" w:eastAsia="仿宋"/>
          <w:sz w:val="32"/>
          <w:szCs w:val="32"/>
        </w:rPr>
        <w:t>另一方面因单位无动态调整</w:t>
      </w:r>
      <w:r>
        <w:rPr>
          <w:rFonts w:hint="eastAsia" w:eastAsia="仿宋"/>
          <w:sz w:val="32"/>
          <w:szCs w:val="32"/>
          <w:lang w:val="en-US" w:eastAsia="zh-CN"/>
        </w:rPr>
        <w:t>的</w:t>
      </w:r>
      <w:r>
        <w:rPr>
          <w:rFonts w:hint="eastAsia" w:eastAsia="仿宋"/>
          <w:sz w:val="32"/>
          <w:szCs w:val="32"/>
        </w:rPr>
        <w:t>可支配收入</w:t>
      </w:r>
      <w:r>
        <w:rPr>
          <w:rFonts w:hint="eastAsia" w:eastAsia="仿宋"/>
          <w:sz w:val="32"/>
          <w:szCs w:val="32"/>
          <w:lang w:eastAsia="zh-CN"/>
        </w:rPr>
        <w:t>，</w:t>
      </w:r>
      <w:r>
        <w:rPr>
          <w:rFonts w:hint="eastAsia" w:eastAsia="仿宋"/>
          <w:sz w:val="32"/>
          <w:szCs w:val="32"/>
          <w:lang w:val="en-US" w:eastAsia="zh-CN"/>
        </w:rPr>
        <w:t>收入来源比较单一。</w:t>
      </w:r>
    </w:p>
    <w:p w14:paraId="045AD93E">
      <w:pPr>
        <w:pStyle w:val="4"/>
        <w:widowControl/>
        <w:ind w:firstLine="640"/>
        <w:rPr>
          <w:rFonts w:eastAsia="仿宋"/>
          <w:sz w:val="32"/>
          <w:szCs w:val="32"/>
        </w:rPr>
      </w:pPr>
      <w:r>
        <w:rPr>
          <w:rFonts w:hint="eastAsia" w:eastAsia="仿宋"/>
          <w:sz w:val="32"/>
          <w:szCs w:val="32"/>
          <w:lang w:eastAsia="zh-CN"/>
        </w:rPr>
        <w:t>（</w:t>
      </w:r>
      <w:r>
        <w:rPr>
          <w:rFonts w:hint="eastAsia" w:eastAsia="仿宋"/>
          <w:sz w:val="32"/>
          <w:szCs w:val="32"/>
          <w:lang w:val="en-US" w:eastAsia="zh-CN"/>
        </w:rPr>
        <w:t>二</w:t>
      </w:r>
      <w:r>
        <w:rPr>
          <w:rFonts w:hint="eastAsia" w:eastAsia="仿宋"/>
          <w:sz w:val="32"/>
          <w:szCs w:val="32"/>
          <w:lang w:eastAsia="zh-CN"/>
        </w:rPr>
        <w:t>）</w:t>
      </w:r>
      <w:r>
        <w:rPr>
          <w:rFonts w:hint="eastAsia" w:eastAsia="仿宋"/>
          <w:sz w:val="32"/>
          <w:szCs w:val="32"/>
        </w:rPr>
        <w:t>预算管理水平有待进一步提高，绩效指标体系有待进一步科学设置，预算执行控制措施也需进一步加强。</w:t>
      </w:r>
    </w:p>
    <w:p w14:paraId="0EF12A0A">
      <w:pPr>
        <w:widowControl/>
        <w:numPr>
          <w:ilvl w:val="0"/>
          <w:numId w:val="2"/>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63AB7FAC">
      <w:pPr>
        <w:pStyle w:val="4"/>
        <w:widowControl/>
        <w:ind w:firstLine="640"/>
        <w:rPr>
          <w:rFonts w:hint="eastAsia" w:eastAsia="仿宋"/>
          <w:color w:val="000000"/>
          <w:sz w:val="32"/>
          <w:szCs w:val="32"/>
        </w:rPr>
      </w:pPr>
      <w:r>
        <w:rPr>
          <w:rFonts w:hint="eastAsia" w:eastAsia="仿宋"/>
          <w:color w:val="000000"/>
          <w:sz w:val="32"/>
          <w:szCs w:val="32"/>
        </w:rPr>
        <w:t>（一）加强预算管理，提高预算编制科学性，强化预算执行约束</w:t>
      </w:r>
    </w:p>
    <w:p w14:paraId="056F0C8D">
      <w:pPr>
        <w:pStyle w:val="4"/>
        <w:widowControl/>
        <w:ind w:firstLine="640"/>
        <w:rPr>
          <w:rFonts w:hint="eastAsia" w:eastAsia="仿宋"/>
          <w:color w:val="000000"/>
          <w:sz w:val="32"/>
          <w:szCs w:val="32"/>
        </w:rPr>
      </w:pPr>
      <w:r>
        <w:rPr>
          <w:rFonts w:hint="eastAsia" w:eastAsia="仿宋"/>
          <w:color w:val="000000"/>
          <w:sz w:val="32"/>
          <w:szCs w:val="32"/>
        </w:rPr>
        <w:t>进一步加强预算管理，严格按照财政定额标准，编足编实基本支出，按照保重点和突出绩效的原则合理安排项目支出，压缩非必要、绩效不佳的项目支出，提升预算编制科学性和准确性；强化预算执行约束，坚持“先预算后支出、无预算不支出、不得超预算支出”的原则安排各项支出，严格控制预算调剂。</w:t>
      </w:r>
    </w:p>
    <w:p w14:paraId="3889B2C1">
      <w:pPr>
        <w:pStyle w:val="4"/>
        <w:widowControl/>
        <w:ind w:firstLine="640"/>
        <w:rPr>
          <w:rFonts w:hint="eastAsia" w:eastAsia="仿宋"/>
          <w:color w:val="000000"/>
          <w:sz w:val="32"/>
          <w:szCs w:val="32"/>
        </w:rPr>
      </w:pPr>
      <w:r>
        <w:rPr>
          <w:rFonts w:hint="eastAsia" w:eastAsia="仿宋"/>
          <w:color w:val="000000"/>
          <w:sz w:val="32"/>
          <w:szCs w:val="32"/>
        </w:rPr>
        <w:t>（二）加强项目资金管理，确保资金尽快</w:t>
      </w:r>
      <w:r>
        <w:rPr>
          <w:rFonts w:hint="eastAsia" w:eastAsia="仿宋"/>
          <w:color w:val="000000"/>
          <w:sz w:val="32"/>
          <w:szCs w:val="32"/>
          <w:lang w:val="en-US" w:eastAsia="zh-CN"/>
        </w:rPr>
        <w:t>投入</w:t>
      </w:r>
      <w:r>
        <w:rPr>
          <w:rFonts w:hint="eastAsia" w:eastAsia="仿宋"/>
          <w:color w:val="000000"/>
          <w:sz w:val="32"/>
          <w:szCs w:val="32"/>
        </w:rPr>
        <w:t>到位</w:t>
      </w:r>
    </w:p>
    <w:p w14:paraId="73E54A7D">
      <w:pPr>
        <w:pStyle w:val="4"/>
        <w:widowControl/>
        <w:ind w:firstLine="640"/>
        <w:rPr>
          <w:rFonts w:hint="eastAsia" w:eastAsia="仿宋"/>
          <w:color w:val="000000"/>
          <w:sz w:val="32"/>
          <w:szCs w:val="32"/>
        </w:rPr>
      </w:pPr>
      <w:r>
        <w:rPr>
          <w:rFonts w:hint="eastAsia" w:eastAsia="仿宋"/>
          <w:color w:val="000000"/>
          <w:sz w:val="32"/>
          <w:szCs w:val="32"/>
        </w:rPr>
        <w:t>加快项目资金分配进度，在资金管理办法规定时限内完成资金</w:t>
      </w:r>
      <w:r>
        <w:rPr>
          <w:rFonts w:hint="eastAsia" w:eastAsia="仿宋"/>
          <w:color w:val="000000"/>
          <w:sz w:val="32"/>
          <w:szCs w:val="32"/>
          <w:lang w:val="en-US" w:eastAsia="zh-CN"/>
        </w:rPr>
        <w:t>投入</w:t>
      </w:r>
      <w:r>
        <w:rPr>
          <w:rFonts w:hint="eastAsia" w:eastAsia="仿宋"/>
          <w:color w:val="000000"/>
          <w:sz w:val="32"/>
          <w:szCs w:val="32"/>
        </w:rPr>
        <w:t>；加强与本级财政部门的沟通衔接，尽早会商财政部门确定资金安排方案，加快资金拨付进度，避免出现资金闲置甚至挪用的情况。</w:t>
      </w:r>
    </w:p>
    <w:p w14:paraId="3D8E2602">
      <w:pPr>
        <w:pStyle w:val="4"/>
        <w:widowControl/>
        <w:ind w:firstLine="640"/>
        <w:rPr>
          <w:rFonts w:hint="eastAsia" w:eastAsia="仿宋"/>
          <w:color w:val="000000"/>
          <w:sz w:val="32"/>
          <w:szCs w:val="32"/>
        </w:rPr>
      </w:pPr>
      <w:r>
        <w:rPr>
          <w:rFonts w:hint="eastAsia" w:eastAsia="仿宋"/>
          <w:color w:val="000000"/>
          <w:sz w:val="32"/>
          <w:szCs w:val="32"/>
        </w:rPr>
        <w:t>（三）加强绩效管理，提升资金使用效益</w:t>
      </w:r>
    </w:p>
    <w:p w14:paraId="669C94CF">
      <w:pPr>
        <w:pStyle w:val="4"/>
        <w:widowControl/>
        <w:ind w:firstLine="640"/>
        <w:rPr>
          <w:rFonts w:eastAsia="仿宋"/>
          <w:color w:val="000000"/>
          <w:sz w:val="32"/>
          <w:szCs w:val="32"/>
        </w:rPr>
      </w:pPr>
      <w:r>
        <w:rPr>
          <w:rFonts w:hint="eastAsia" w:eastAsia="仿宋"/>
          <w:color w:val="000000"/>
          <w:sz w:val="32"/>
          <w:szCs w:val="32"/>
        </w:rPr>
        <w:t>完善绩效目标管理，加强分析研判，提高绩效目标设定的合理性和科学性；建立绩效运行监控机制，了解预算执行和绩效目标完成情况，对发现的问题及时予以纠正和处理；加强绩效评价结果应用，将绩效评价、审计等情况与预算安排相挂钩，进一步提升资金使用效益。</w:t>
      </w:r>
    </w:p>
    <w:p w14:paraId="193D0110">
      <w:pPr>
        <w:widowControl/>
        <w:ind w:firstLine="640" w:firstLineChars="200"/>
        <w:rPr>
          <w:rFonts w:ascii="Times New Roman" w:hAnsi="Times New Roman" w:eastAsia="Times New Roman"/>
          <w:sz w:val="32"/>
          <w:szCs w:val="32"/>
        </w:rPr>
      </w:pPr>
      <w:r>
        <w:rPr>
          <w:rFonts w:hint="eastAsia" w:ascii="Times New Roman" w:hAnsi="Times New Roman" w:eastAsia="黑体"/>
          <w:sz w:val="32"/>
          <w:szCs w:val="32"/>
          <w:lang w:val="en-US" w:eastAsia="zh-CN"/>
        </w:rPr>
        <w:t>六</w:t>
      </w:r>
      <w:r>
        <w:rPr>
          <w:rFonts w:ascii="Times New Roman" w:hAnsi="Times New Roman" w:eastAsia="黑体"/>
          <w:sz w:val="32"/>
          <w:szCs w:val="32"/>
        </w:rPr>
        <w:t>、其他需要说明的情况</w:t>
      </w:r>
    </w:p>
    <w:p w14:paraId="29160A2B">
      <w:pPr>
        <w:widowControl/>
        <w:ind w:firstLine="640" w:firstLineChars="200"/>
        <w:rPr>
          <w:rFonts w:ascii="Times New Roman" w:hAnsi="Times New Roman" w:eastAsia="仿宋"/>
          <w:sz w:val="32"/>
          <w:szCs w:val="32"/>
        </w:rPr>
      </w:pPr>
      <w:r>
        <w:rPr>
          <w:rFonts w:ascii="Times New Roman" w:hAnsi="Times New Roman" w:eastAsia="仿宋"/>
          <w:sz w:val="32"/>
          <w:szCs w:val="32"/>
        </w:rPr>
        <w:t>报告应包括以下附件：</w:t>
      </w:r>
    </w:p>
    <w:p w14:paraId="5D65F902">
      <w:pPr>
        <w:ind w:firstLine="640" w:firstLineChars="200"/>
        <w:rPr>
          <w:rFonts w:ascii="Times New Roman" w:hAnsi="Times New Roman" w:eastAsia="仿宋_GB2312"/>
          <w:sz w:val="32"/>
          <w:szCs w:val="32"/>
        </w:rPr>
      </w:pPr>
      <w:r>
        <w:rPr>
          <w:rFonts w:ascii="Times New Roman" w:hAnsi="Times New Roman" w:eastAsia="仿宋_GB2312"/>
          <w:sz w:val="32"/>
          <w:szCs w:val="32"/>
        </w:rPr>
        <w:t>1.部门整体支出绩效评价基础数据表</w:t>
      </w:r>
    </w:p>
    <w:p w14:paraId="7D6E4D21">
      <w:pPr>
        <w:ind w:firstLine="640" w:firstLineChars="200"/>
        <w:rPr>
          <w:rFonts w:ascii="Times New Roman" w:hAnsi="Times New Roman" w:eastAsia="仿宋_GB2312"/>
          <w:sz w:val="32"/>
          <w:szCs w:val="32"/>
        </w:rPr>
      </w:pPr>
      <w:r>
        <w:rPr>
          <w:rFonts w:ascii="Times New Roman" w:hAnsi="Times New Roman" w:eastAsia="仿宋_GB2312"/>
          <w:sz w:val="32"/>
          <w:szCs w:val="32"/>
        </w:rPr>
        <w:t>2.部门整体支出绩效自评表</w:t>
      </w:r>
    </w:p>
    <w:p w14:paraId="14BD0BAC">
      <w:pPr>
        <w:ind w:firstLine="640" w:firstLineChars="200"/>
        <w:rPr>
          <w:rFonts w:ascii="Times New Roman" w:hAnsi="Times New Roman" w:eastAsia="仿宋_GB2312"/>
          <w:sz w:val="32"/>
          <w:szCs w:val="32"/>
        </w:rPr>
      </w:pPr>
      <w:r>
        <w:rPr>
          <w:rFonts w:ascii="Times New Roman" w:hAnsi="Times New Roman" w:eastAsia="仿宋_GB2312"/>
          <w:sz w:val="32"/>
          <w:szCs w:val="32"/>
        </w:rPr>
        <w:t>3.项目支出绩效自评表</w:t>
      </w:r>
      <w:r>
        <w:rPr>
          <w:rFonts w:ascii="Times New Roman" w:hAnsi="Times New Roman" w:eastAsia="仿宋"/>
          <w:sz w:val="32"/>
          <w:szCs w:val="32"/>
        </w:rPr>
        <w:t>（每个一级项目支出一张表）</w:t>
      </w:r>
    </w:p>
    <w:p w14:paraId="7C4856DC">
      <w:pPr>
        <w:widowControl/>
        <w:ind w:firstLine="640" w:firstLineChars="200"/>
        <w:rPr>
          <w:rFonts w:ascii="Times New Roman" w:hAnsi="Times New Roman" w:eastAsia="仿宋"/>
          <w:sz w:val="32"/>
          <w:szCs w:val="32"/>
        </w:rPr>
      </w:pPr>
    </w:p>
    <w:p w14:paraId="2A8D7488">
      <w:pPr>
        <w:widowControl/>
        <w:ind w:firstLine="640" w:firstLineChars="200"/>
        <w:rPr>
          <w:rFonts w:ascii="Times New Roman" w:hAnsi="Times New Roman" w:eastAsia="仿宋"/>
          <w:sz w:val="32"/>
          <w:szCs w:val="32"/>
        </w:rPr>
      </w:pPr>
    </w:p>
    <w:p w14:paraId="5D140FB5">
      <w:pPr>
        <w:widowControl/>
        <w:ind w:firstLine="640" w:firstLineChars="200"/>
        <w:rPr>
          <w:rFonts w:ascii="Times New Roman" w:hAnsi="Times New Roman" w:eastAsia="仿宋"/>
          <w:sz w:val="32"/>
          <w:szCs w:val="32"/>
        </w:rPr>
      </w:pPr>
    </w:p>
    <w:p w14:paraId="652C63E1">
      <w:pPr>
        <w:widowControl/>
        <w:ind w:firstLine="640" w:firstLineChars="200"/>
        <w:rPr>
          <w:rFonts w:ascii="Times New Roman" w:hAnsi="Times New Roman" w:eastAsia="仿宋"/>
          <w:sz w:val="32"/>
          <w:szCs w:val="32"/>
        </w:rPr>
      </w:pPr>
    </w:p>
    <w:p w14:paraId="436BCA2C">
      <w:pPr>
        <w:widowControl/>
        <w:ind w:firstLine="640" w:firstLineChars="200"/>
        <w:rPr>
          <w:rFonts w:ascii="Times New Roman" w:hAnsi="Times New Roman" w:eastAsia="仿宋"/>
          <w:sz w:val="32"/>
          <w:szCs w:val="32"/>
        </w:rPr>
      </w:pPr>
    </w:p>
    <w:p w14:paraId="24FFAD32">
      <w:pPr>
        <w:widowControl/>
        <w:ind w:firstLine="640" w:firstLineChars="200"/>
        <w:rPr>
          <w:rFonts w:ascii="Times New Roman" w:hAnsi="Times New Roman" w:eastAsia="仿宋"/>
          <w:sz w:val="32"/>
          <w:szCs w:val="32"/>
        </w:rPr>
      </w:pPr>
    </w:p>
    <w:p w14:paraId="3B1BF48E">
      <w:pPr>
        <w:widowControl/>
        <w:ind w:firstLine="640" w:firstLineChars="200"/>
        <w:rPr>
          <w:rFonts w:ascii="Times New Roman" w:hAnsi="Times New Roman" w:eastAsia="仿宋"/>
          <w:sz w:val="32"/>
          <w:szCs w:val="32"/>
        </w:rPr>
      </w:pPr>
    </w:p>
    <w:p w14:paraId="1C3FDA2D">
      <w:pPr>
        <w:widowControl/>
        <w:ind w:firstLine="640" w:firstLineChars="200"/>
        <w:rPr>
          <w:rFonts w:ascii="Times New Roman" w:hAnsi="Times New Roman" w:eastAsia="仿宋"/>
          <w:sz w:val="32"/>
          <w:szCs w:val="32"/>
        </w:rPr>
      </w:pPr>
    </w:p>
    <w:p w14:paraId="0E505BF1">
      <w:pPr>
        <w:ind w:right="640"/>
        <w:rPr>
          <w:rFonts w:ascii="Times New Roman" w:hAnsi="Times New Roman" w:eastAsia="仿宋_GB2312"/>
          <w:kern w:val="0"/>
          <w:sz w:val="36"/>
          <w:szCs w:val="36"/>
        </w:rPr>
      </w:pPr>
      <w:r>
        <w:rPr>
          <w:rFonts w:hint="eastAsia" w:ascii="黑体" w:hAnsi="黑体" w:eastAsia="黑体" w:cs="黑体"/>
          <w:kern w:val="0"/>
          <w:sz w:val="32"/>
          <w:szCs w:val="32"/>
        </w:rPr>
        <w:t>附件</w:t>
      </w: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 xml:space="preserve">    </w:t>
      </w:r>
      <w:r>
        <w:rPr>
          <w:rFonts w:hint="eastAsia" w:ascii="Times New Roman" w:hAnsi="Times New Roman" w:eastAsia="仿宋_GB2312"/>
          <w:kern w:val="0"/>
          <w:sz w:val="36"/>
          <w:szCs w:val="36"/>
        </w:rPr>
        <w:t xml:space="preserve"> </w:t>
      </w:r>
    </w:p>
    <w:p w14:paraId="24DB5A5D">
      <w:pPr>
        <w:ind w:left="359" w:leftChars="171" w:right="640" w:firstLine="1440" w:firstLineChars="4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 xml:space="preserve">部门整体支出绩效评价基础数据表  </w:t>
      </w:r>
    </w:p>
    <w:p w14:paraId="4C40037D">
      <w:pPr>
        <w:ind w:right="640"/>
        <w:rPr>
          <w:rFonts w:ascii="Times New Roman" w:hAnsi="Times New Roman" w:eastAsia="Times New Roman"/>
          <w:kern w:val="0"/>
          <w:sz w:val="24"/>
        </w:rPr>
      </w:pPr>
      <w:r>
        <w:rPr>
          <w:rFonts w:ascii="Times New Roman" w:hAnsi="Times New Roman"/>
          <w:kern w:val="0"/>
          <w:sz w:val="24"/>
        </w:rPr>
        <w:t>填报单位：</w:t>
      </w:r>
      <w:r>
        <w:rPr>
          <w:rFonts w:hint="eastAsia" w:ascii="Times New Roman" w:hAnsi="Times New Roman"/>
          <w:kern w:val="0"/>
          <w:sz w:val="24"/>
        </w:rPr>
        <w:t>衡阳市公路建设养护中心石鼓分中心</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p>
    <w:tbl>
      <w:tblPr>
        <w:tblStyle w:val="2"/>
        <w:tblW w:w="9464" w:type="dxa"/>
        <w:jc w:val="center"/>
        <w:tblLayout w:type="fixed"/>
        <w:tblCellMar>
          <w:top w:w="0" w:type="dxa"/>
          <w:left w:w="108" w:type="dxa"/>
          <w:bottom w:w="0" w:type="dxa"/>
          <w:right w:w="108" w:type="dxa"/>
        </w:tblCellMar>
      </w:tblPr>
      <w:tblGrid>
        <w:gridCol w:w="3354"/>
        <w:gridCol w:w="2038"/>
        <w:gridCol w:w="2240"/>
        <w:gridCol w:w="1832"/>
      </w:tblGrid>
      <w:tr w14:paraId="577F2061">
        <w:tblPrEx>
          <w:tblCellMar>
            <w:top w:w="0" w:type="dxa"/>
            <w:left w:w="108" w:type="dxa"/>
            <w:bottom w:w="0" w:type="dxa"/>
            <w:right w:w="108" w:type="dxa"/>
          </w:tblCellMar>
        </w:tblPrEx>
        <w:trPr>
          <w:trHeight w:val="257"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14:paraId="7B326A69">
            <w:pPr>
              <w:widowControl/>
              <w:jc w:val="center"/>
              <w:rPr>
                <w:rFonts w:ascii="Times New Roman" w:hAnsi="Times New Roman" w:eastAsia="Times New Roman"/>
                <w:kern w:val="0"/>
                <w:szCs w:val="21"/>
              </w:rPr>
            </w:pPr>
            <w:r>
              <w:rPr>
                <w:rFonts w:ascii="Times New Roman" w:hAnsi="Times New Roman"/>
                <w:kern w:val="0"/>
                <w:szCs w:val="21"/>
              </w:rPr>
              <w:t>财政供养人员情况</w:t>
            </w:r>
          </w:p>
        </w:tc>
        <w:tc>
          <w:tcPr>
            <w:tcW w:w="2038" w:type="dxa"/>
            <w:tcBorders>
              <w:top w:val="single" w:color="auto" w:sz="4" w:space="0"/>
              <w:left w:val="nil"/>
              <w:bottom w:val="single" w:color="auto" w:sz="4" w:space="0"/>
              <w:right w:val="single" w:color="auto" w:sz="4" w:space="0"/>
            </w:tcBorders>
            <w:vAlign w:val="center"/>
          </w:tcPr>
          <w:p w14:paraId="7ED57DAE">
            <w:pPr>
              <w:widowControl/>
              <w:jc w:val="center"/>
              <w:rPr>
                <w:rFonts w:ascii="Times New Roman" w:hAnsi="Times New Roman" w:eastAsia="Times New Roman"/>
                <w:b/>
                <w:bCs/>
                <w:kern w:val="0"/>
                <w:szCs w:val="21"/>
              </w:rPr>
            </w:pPr>
            <w:r>
              <w:rPr>
                <w:rFonts w:ascii="Times New Roman" w:hAnsi="Times New Roman"/>
                <w:b/>
                <w:bCs/>
                <w:kern w:val="0"/>
                <w:szCs w:val="21"/>
              </w:rPr>
              <w:t>编制数</w:t>
            </w:r>
          </w:p>
        </w:tc>
        <w:tc>
          <w:tcPr>
            <w:tcW w:w="2240" w:type="dxa"/>
            <w:tcBorders>
              <w:top w:val="single" w:color="auto" w:sz="4" w:space="0"/>
              <w:left w:val="nil"/>
              <w:bottom w:val="single" w:color="auto" w:sz="4" w:space="0"/>
              <w:right w:val="single" w:color="auto" w:sz="4" w:space="0"/>
            </w:tcBorders>
            <w:vAlign w:val="center"/>
          </w:tcPr>
          <w:p w14:paraId="6E44D3A0">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年实际在职人数</w:t>
            </w:r>
          </w:p>
        </w:tc>
        <w:tc>
          <w:tcPr>
            <w:tcW w:w="1832" w:type="dxa"/>
            <w:tcBorders>
              <w:top w:val="single" w:color="auto" w:sz="4" w:space="0"/>
              <w:left w:val="nil"/>
              <w:bottom w:val="single" w:color="auto" w:sz="4" w:space="0"/>
              <w:right w:val="single" w:color="auto" w:sz="4" w:space="0"/>
            </w:tcBorders>
            <w:vAlign w:val="center"/>
          </w:tcPr>
          <w:p w14:paraId="442046D5">
            <w:pPr>
              <w:widowControl/>
              <w:jc w:val="center"/>
              <w:rPr>
                <w:rFonts w:ascii="Times New Roman" w:hAnsi="Times New Roman" w:eastAsia="Times New Roman"/>
                <w:b/>
                <w:bCs/>
                <w:kern w:val="0"/>
                <w:szCs w:val="21"/>
              </w:rPr>
            </w:pPr>
            <w:r>
              <w:rPr>
                <w:rFonts w:ascii="Times New Roman" w:hAnsi="Times New Roman"/>
                <w:b/>
                <w:bCs/>
                <w:kern w:val="0"/>
                <w:szCs w:val="21"/>
              </w:rPr>
              <w:t>控制率</w:t>
            </w:r>
          </w:p>
        </w:tc>
      </w:tr>
      <w:tr w14:paraId="4431D803">
        <w:tblPrEx>
          <w:tblCellMar>
            <w:top w:w="0" w:type="dxa"/>
            <w:left w:w="108" w:type="dxa"/>
            <w:bottom w:w="0" w:type="dxa"/>
            <w:right w:w="108" w:type="dxa"/>
          </w:tblCellMar>
        </w:tblPrEx>
        <w:trPr>
          <w:trHeight w:val="206"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14:paraId="0178F144">
            <w:pPr>
              <w:widowControl/>
              <w:jc w:val="left"/>
              <w:rPr>
                <w:rFonts w:ascii="Times New Roman" w:hAnsi="Times New Roman" w:eastAsia="Times New Roman"/>
                <w:kern w:val="0"/>
                <w:szCs w:val="21"/>
              </w:rPr>
            </w:pPr>
          </w:p>
        </w:tc>
        <w:tc>
          <w:tcPr>
            <w:tcW w:w="2038" w:type="dxa"/>
            <w:tcBorders>
              <w:top w:val="single" w:color="auto" w:sz="4" w:space="0"/>
              <w:left w:val="nil"/>
              <w:bottom w:val="single" w:color="auto" w:sz="4" w:space="0"/>
              <w:right w:val="single" w:color="auto" w:sz="4" w:space="0"/>
            </w:tcBorders>
            <w:vAlign w:val="center"/>
          </w:tcPr>
          <w:p w14:paraId="0FEFE527">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39</w:t>
            </w:r>
          </w:p>
        </w:tc>
        <w:tc>
          <w:tcPr>
            <w:tcW w:w="2240" w:type="dxa"/>
            <w:tcBorders>
              <w:top w:val="single" w:color="auto" w:sz="4" w:space="0"/>
              <w:left w:val="nil"/>
              <w:bottom w:val="single" w:color="auto" w:sz="4" w:space="0"/>
              <w:right w:val="single" w:color="auto" w:sz="4" w:space="0"/>
            </w:tcBorders>
            <w:vAlign w:val="center"/>
          </w:tcPr>
          <w:p w14:paraId="2A1DE447">
            <w:pPr>
              <w:widowControl/>
              <w:jc w:val="center"/>
              <w:rPr>
                <w:rFonts w:hint="default" w:ascii="Times New Roman" w:hAnsi="Times New Roman" w:eastAsia="Times New Roman"/>
                <w:kern w:val="0"/>
                <w:szCs w:val="21"/>
                <w:lang w:val="en-US"/>
              </w:rPr>
            </w:pPr>
            <w:r>
              <w:rPr>
                <w:rFonts w:hint="eastAsia" w:ascii="Times New Roman" w:hAnsi="Times New Roman"/>
                <w:kern w:val="0"/>
                <w:szCs w:val="21"/>
                <w:lang w:val="en-US" w:eastAsia="zh-CN"/>
              </w:rPr>
              <w:t>33</w:t>
            </w:r>
          </w:p>
        </w:tc>
        <w:tc>
          <w:tcPr>
            <w:tcW w:w="1832" w:type="dxa"/>
            <w:tcBorders>
              <w:top w:val="single" w:color="auto" w:sz="4" w:space="0"/>
              <w:left w:val="nil"/>
              <w:bottom w:val="single" w:color="auto" w:sz="4" w:space="0"/>
              <w:right w:val="single" w:color="auto" w:sz="4" w:space="0"/>
            </w:tcBorders>
            <w:vAlign w:val="center"/>
          </w:tcPr>
          <w:p w14:paraId="32963280">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87%</w:t>
            </w:r>
            <w:r>
              <w:rPr>
                <w:rFonts w:ascii="Times New Roman" w:hAnsi="Times New Roman"/>
                <w:kern w:val="0"/>
                <w:szCs w:val="21"/>
              </w:rPr>
              <w:t>　</w:t>
            </w:r>
          </w:p>
        </w:tc>
      </w:tr>
      <w:tr w14:paraId="5ED04D4D">
        <w:tblPrEx>
          <w:tblCellMar>
            <w:top w:w="0" w:type="dxa"/>
            <w:left w:w="108" w:type="dxa"/>
            <w:bottom w:w="0" w:type="dxa"/>
            <w:right w:w="108" w:type="dxa"/>
          </w:tblCellMar>
        </w:tblPrEx>
        <w:trPr>
          <w:trHeight w:val="465" w:hRule="atLeast"/>
          <w:jc w:val="center"/>
        </w:trPr>
        <w:tc>
          <w:tcPr>
            <w:tcW w:w="3354" w:type="dxa"/>
            <w:tcBorders>
              <w:top w:val="nil"/>
              <w:left w:val="single" w:color="auto" w:sz="4" w:space="0"/>
              <w:bottom w:val="single" w:color="auto" w:sz="4" w:space="0"/>
              <w:right w:val="single" w:color="auto" w:sz="4" w:space="0"/>
            </w:tcBorders>
            <w:vAlign w:val="center"/>
          </w:tcPr>
          <w:p w14:paraId="38154B51">
            <w:pPr>
              <w:widowControl/>
              <w:jc w:val="center"/>
              <w:rPr>
                <w:rFonts w:ascii="Times New Roman" w:hAnsi="Times New Roman" w:eastAsia="Times New Roman"/>
                <w:kern w:val="0"/>
                <w:szCs w:val="21"/>
              </w:rPr>
            </w:pPr>
            <w:r>
              <w:rPr>
                <w:rFonts w:ascii="Times New Roman" w:hAnsi="Times New Roman"/>
                <w:kern w:val="0"/>
                <w:szCs w:val="21"/>
              </w:rPr>
              <w:t>经费控制情况</w:t>
            </w:r>
          </w:p>
        </w:tc>
        <w:tc>
          <w:tcPr>
            <w:tcW w:w="2038" w:type="dxa"/>
            <w:tcBorders>
              <w:top w:val="single" w:color="auto" w:sz="4" w:space="0"/>
              <w:left w:val="nil"/>
              <w:bottom w:val="single" w:color="auto" w:sz="4" w:space="0"/>
              <w:right w:val="single" w:color="000000" w:sz="4" w:space="0"/>
            </w:tcBorders>
            <w:vAlign w:val="center"/>
          </w:tcPr>
          <w:p w14:paraId="79177CF4">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1</w:t>
            </w:r>
            <w:r>
              <w:rPr>
                <w:rFonts w:ascii="Times New Roman" w:hAnsi="Times New Roman"/>
                <w:b/>
                <w:bCs/>
                <w:kern w:val="0"/>
                <w:szCs w:val="21"/>
              </w:rPr>
              <w:t>年决算数</w:t>
            </w:r>
          </w:p>
        </w:tc>
        <w:tc>
          <w:tcPr>
            <w:tcW w:w="2240" w:type="dxa"/>
            <w:tcBorders>
              <w:top w:val="single" w:color="auto" w:sz="4" w:space="0"/>
              <w:left w:val="nil"/>
              <w:bottom w:val="single" w:color="auto" w:sz="4" w:space="0"/>
              <w:right w:val="single" w:color="000000" w:sz="4" w:space="0"/>
            </w:tcBorders>
            <w:vAlign w:val="center"/>
          </w:tcPr>
          <w:p w14:paraId="39B026D5">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年预算数</w:t>
            </w:r>
          </w:p>
        </w:tc>
        <w:tc>
          <w:tcPr>
            <w:tcW w:w="1832" w:type="dxa"/>
            <w:tcBorders>
              <w:top w:val="single" w:color="auto" w:sz="4" w:space="0"/>
              <w:left w:val="nil"/>
              <w:bottom w:val="single" w:color="auto" w:sz="4" w:space="0"/>
              <w:right w:val="single" w:color="000000" w:sz="4" w:space="0"/>
            </w:tcBorders>
            <w:vAlign w:val="center"/>
          </w:tcPr>
          <w:p w14:paraId="1EAEF9C3">
            <w:pPr>
              <w:widowControl/>
              <w:jc w:val="center"/>
              <w:rPr>
                <w:rFonts w:ascii="Times New Roman" w:hAnsi="Times New Roman" w:eastAsia="Times New Roman"/>
                <w:b/>
                <w:bCs/>
                <w:kern w:val="0"/>
                <w:szCs w:val="21"/>
              </w:rPr>
            </w:pPr>
            <w:r>
              <w:rPr>
                <w:rFonts w:ascii="Times New Roman" w:hAnsi="Times New Roman"/>
                <w:b/>
                <w:bCs/>
                <w:kern w:val="0"/>
                <w:szCs w:val="21"/>
              </w:rPr>
              <w:t>202</w:t>
            </w:r>
            <w:r>
              <w:rPr>
                <w:rFonts w:hint="eastAsia" w:ascii="Times New Roman" w:hAnsi="Times New Roman"/>
                <w:b/>
                <w:bCs/>
                <w:kern w:val="0"/>
                <w:szCs w:val="21"/>
              </w:rPr>
              <w:t>2</w:t>
            </w:r>
            <w:r>
              <w:rPr>
                <w:rFonts w:ascii="Times New Roman" w:hAnsi="Times New Roman"/>
                <w:b/>
                <w:bCs/>
                <w:kern w:val="0"/>
                <w:szCs w:val="21"/>
              </w:rPr>
              <w:t>年决算数</w:t>
            </w:r>
          </w:p>
        </w:tc>
      </w:tr>
      <w:tr w14:paraId="0F555D5C">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13C9EB6B">
            <w:pPr>
              <w:widowControl/>
              <w:jc w:val="left"/>
              <w:rPr>
                <w:rFonts w:ascii="Times New Roman" w:hAnsi="Times New Roman" w:eastAsia="Times New Roman"/>
                <w:kern w:val="0"/>
                <w:szCs w:val="21"/>
              </w:rPr>
            </w:pPr>
            <w:r>
              <w:rPr>
                <w:rFonts w:ascii="Times New Roman" w:hAnsi="Times New Roman"/>
                <w:kern w:val="0"/>
                <w:szCs w:val="21"/>
              </w:rPr>
              <w:t>一、部门基本支出</w:t>
            </w:r>
          </w:p>
        </w:tc>
        <w:tc>
          <w:tcPr>
            <w:tcW w:w="2038" w:type="dxa"/>
            <w:tcBorders>
              <w:top w:val="single" w:color="auto" w:sz="4" w:space="0"/>
              <w:left w:val="nil"/>
              <w:bottom w:val="single" w:color="auto" w:sz="4" w:space="0"/>
              <w:right w:val="single" w:color="000000" w:sz="4" w:space="0"/>
            </w:tcBorders>
            <w:vAlign w:val="center"/>
          </w:tcPr>
          <w:p w14:paraId="7B826F7E">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600.97</w:t>
            </w:r>
          </w:p>
        </w:tc>
        <w:tc>
          <w:tcPr>
            <w:tcW w:w="2240" w:type="dxa"/>
            <w:tcBorders>
              <w:top w:val="single" w:color="auto" w:sz="4" w:space="0"/>
              <w:left w:val="nil"/>
              <w:bottom w:val="single" w:color="auto" w:sz="4" w:space="0"/>
              <w:right w:val="single" w:color="000000" w:sz="4" w:space="0"/>
            </w:tcBorders>
            <w:vAlign w:val="center"/>
          </w:tcPr>
          <w:p w14:paraId="54C68051">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396.18</w:t>
            </w:r>
          </w:p>
        </w:tc>
        <w:tc>
          <w:tcPr>
            <w:tcW w:w="1832" w:type="dxa"/>
            <w:tcBorders>
              <w:top w:val="single" w:color="auto" w:sz="4" w:space="0"/>
              <w:left w:val="nil"/>
              <w:bottom w:val="single" w:color="auto" w:sz="4" w:space="0"/>
              <w:right w:val="single" w:color="000000" w:sz="4" w:space="0"/>
            </w:tcBorders>
            <w:vAlign w:val="center"/>
          </w:tcPr>
          <w:p w14:paraId="70487997">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737.06</w:t>
            </w:r>
          </w:p>
        </w:tc>
      </w:tr>
      <w:tr w14:paraId="630FE396">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59D4D9E6">
            <w:pPr>
              <w:widowControl/>
              <w:jc w:val="left"/>
              <w:rPr>
                <w:rFonts w:ascii="Times New Roman" w:hAnsi="Times New Roman" w:eastAsia="Times New Roman"/>
                <w:kern w:val="0"/>
                <w:szCs w:val="21"/>
              </w:rPr>
            </w:pPr>
            <w:r>
              <w:rPr>
                <w:rFonts w:ascii="Times New Roman" w:hAnsi="Times New Roman"/>
                <w:kern w:val="0"/>
                <w:szCs w:val="21"/>
              </w:rPr>
              <w:t>其中：公用经费</w:t>
            </w:r>
          </w:p>
        </w:tc>
        <w:tc>
          <w:tcPr>
            <w:tcW w:w="2038" w:type="dxa"/>
            <w:tcBorders>
              <w:top w:val="single" w:color="auto" w:sz="4" w:space="0"/>
              <w:left w:val="nil"/>
              <w:bottom w:val="single" w:color="auto" w:sz="4" w:space="0"/>
              <w:right w:val="single" w:color="000000" w:sz="4" w:space="0"/>
            </w:tcBorders>
            <w:vAlign w:val="center"/>
          </w:tcPr>
          <w:p w14:paraId="1A7CA753">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83.87</w:t>
            </w:r>
          </w:p>
        </w:tc>
        <w:tc>
          <w:tcPr>
            <w:tcW w:w="2240" w:type="dxa"/>
            <w:tcBorders>
              <w:top w:val="single" w:color="auto" w:sz="4" w:space="0"/>
              <w:left w:val="nil"/>
              <w:bottom w:val="single" w:color="auto" w:sz="4" w:space="0"/>
              <w:right w:val="single" w:color="000000" w:sz="4" w:space="0"/>
            </w:tcBorders>
            <w:vAlign w:val="center"/>
          </w:tcPr>
          <w:p w14:paraId="3CB8706C">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52.5</w:t>
            </w:r>
          </w:p>
        </w:tc>
        <w:tc>
          <w:tcPr>
            <w:tcW w:w="1832" w:type="dxa"/>
            <w:tcBorders>
              <w:top w:val="single" w:color="auto" w:sz="4" w:space="0"/>
              <w:left w:val="nil"/>
              <w:bottom w:val="single" w:color="auto" w:sz="4" w:space="0"/>
              <w:right w:val="single" w:color="000000" w:sz="4" w:space="0"/>
            </w:tcBorders>
            <w:vAlign w:val="center"/>
          </w:tcPr>
          <w:p w14:paraId="0B5B26BF">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68.90</w:t>
            </w:r>
          </w:p>
        </w:tc>
      </w:tr>
      <w:tr w14:paraId="3417BD22">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700D39CD">
            <w:pPr>
              <w:widowControl/>
              <w:jc w:val="left"/>
              <w:rPr>
                <w:rFonts w:ascii="Times New Roman" w:hAnsi="Times New Roman" w:eastAsia="Times New Roman"/>
                <w:kern w:val="0"/>
                <w:szCs w:val="21"/>
              </w:rPr>
            </w:pPr>
            <w:r>
              <w:rPr>
                <w:rFonts w:ascii="Times New Roman" w:hAnsi="Times New Roman"/>
                <w:kern w:val="0"/>
                <w:szCs w:val="21"/>
              </w:rPr>
              <w:t>其中：办公经费</w:t>
            </w:r>
          </w:p>
        </w:tc>
        <w:tc>
          <w:tcPr>
            <w:tcW w:w="2038" w:type="dxa"/>
            <w:tcBorders>
              <w:top w:val="single" w:color="auto" w:sz="4" w:space="0"/>
              <w:left w:val="nil"/>
              <w:bottom w:val="single" w:color="auto" w:sz="4" w:space="0"/>
              <w:right w:val="single" w:color="000000" w:sz="4" w:space="0"/>
            </w:tcBorders>
            <w:vAlign w:val="center"/>
          </w:tcPr>
          <w:p w14:paraId="7CA7AC05">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14.10</w:t>
            </w:r>
          </w:p>
        </w:tc>
        <w:tc>
          <w:tcPr>
            <w:tcW w:w="2240" w:type="dxa"/>
            <w:tcBorders>
              <w:top w:val="single" w:color="auto" w:sz="4" w:space="0"/>
              <w:left w:val="nil"/>
              <w:bottom w:val="single" w:color="auto" w:sz="4" w:space="0"/>
              <w:right w:val="single" w:color="000000" w:sz="4" w:space="0"/>
            </w:tcBorders>
            <w:vAlign w:val="center"/>
          </w:tcPr>
          <w:p w14:paraId="4AACE1F3">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9.5</w:t>
            </w:r>
          </w:p>
        </w:tc>
        <w:tc>
          <w:tcPr>
            <w:tcW w:w="1832" w:type="dxa"/>
            <w:tcBorders>
              <w:top w:val="single" w:color="auto" w:sz="4" w:space="0"/>
              <w:left w:val="nil"/>
              <w:bottom w:val="single" w:color="auto" w:sz="4" w:space="0"/>
              <w:right w:val="single" w:color="000000" w:sz="4" w:space="0"/>
            </w:tcBorders>
            <w:vAlign w:val="center"/>
          </w:tcPr>
          <w:p w14:paraId="4A13A436">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5.75</w:t>
            </w:r>
          </w:p>
        </w:tc>
      </w:tr>
      <w:tr w14:paraId="709241D6">
        <w:tblPrEx>
          <w:tblCellMar>
            <w:top w:w="0" w:type="dxa"/>
            <w:left w:w="108" w:type="dxa"/>
            <w:bottom w:w="0" w:type="dxa"/>
            <w:right w:w="108" w:type="dxa"/>
          </w:tblCellMar>
        </w:tblPrEx>
        <w:trPr>
          <w:trHeight w:val="460" w:hRule="atLeast"/>
          <w:jc w:val="center"/>
        </w:trPr>
        <w:tc>
          <w:tcPr>
            <w:tcW w:w="3354" w:type="dxa"/>
            <w:tcBorders>
              <w:top w:val="nil"/>
              <w:left w:val="single" w:color="auto" w:sz="4" w:space="0"/>
              <w:bottom w:val="single" w:color="auto" w:sz="4" w:space="0"/>
              <w:right w:val="single" w:color="auto" w:sz="4" w:space="0"/>
            </w:tcBorders>
            <w:vAlign w:val="center"/>
          </w:tcPr>
          <w:p w14:paraId="7588318E">
            <w:pPr>
              <w:widowControl/>
              <w:jc w:val="left"/>
              <w:rPr>
                <w:rFonts w:ascii="Times New Roman" w:hAnsi="Times New Roman" w:eastAsia="Times New Roman"/>
                <w:kern w:val="0"/>
                <w:szCs w:val="21"/>
              </w:rPr>
            </w:pPr>
            <w:r>
              <w:rPr>
                <w:rFonts w:ascii="Times New Roman" w:hAnsi="Times New Roman"/>
                <w:kern w:val="0"/>
                <w:szCs w:val="21"/>
              </w:rPr>
              <w:t>水费、电费、差旅费</w:t>
            </w:r>
          </w:p>
        </w:tc>
        <w:tc>
          <w:tcPr>
            <w:tcW w:w="2038" w:type="dxa"/>
            <w:tcBorders>
              <w:top w:val="single" w:color="auto" w:sz="4" w:space="0"/>
              <w:left w:val="nil"/>
              <w:bottom w:val="single" w:color="auto" w:sz="4" w:space="0"/>
              <w:right w:val="single" w:color="000000" w:sz="4" w:space="0"/>
            </w:tcBorders>
            <w:vAlign w:val="center"/>
          </w:tcPr>
          <w:p w14:paraId="71CD59E9">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6.82</w:t>
            </w:r>
          </w:p>
        </w:tc>
        <w:tc>
          <w:tcPr>
            <w:tcW w:w="2240" w:type="dxa"/>
            <w:tcBorders>
              <w:top w:val="single" w:color="auto" w:sz="4" w:space="0"/>
              <w:left w:val="nil"/>
              <w:bottom w:val="single" w:color="auto" w:sz="4" w:space="0"/>
              <w:right w:val="single" w:color="000000" w:sz="4" w:space="0"/>
            </w:tcBorders>
            <w:vAlign w:val="center"/>
          </w:tcPr>
          <w:p w14:paraId="4EDA0B48">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7.2</w:t>
            </w:r>
          </w:p>
        </w:tc>
        <w:tc>
          <w:tcPr>
            <w:tcW w:w="1832" w:type="dxa"/>
            <w:tcBorders>
              <w:top w:val="single" w:color="auto" w:sz="4" w:space="0"/>
              <w:left w:val="nil"/>
              <w:bottom w:val="single" w:color="auto" w:sz="4" w:space="0"/>
              <w:right w:val="single" w:color="000000" w:sz="4" w:space="0"/>
            </w:tcBorders>
            <w:vAlign w:val="center"/>
          </w:tcPr>
          <w:p w14:paraId="399DCD6D">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8.66</w:t>
            </w:r>
          </w:p>
        </w:tc>
      </w:tr>
      <w:tr w14:paraId="5BD1B4BD">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304D619D">
            <w:pPr>
              <w:widowControl/>
              <w:jc w:val="left"/>
              <w:rPr>
                <w:rFonts w:ascii="Times New Roman" w:hAnsi="Times New Roman" w:eastAsia="Times New Roman"/>
                <w:kern w:val="0"/>
                <w:szCs w:val="21"/>
              </w:rPr>
            </w:pPr>
            <w:r>
              <w:rPr>
                <w:rFonts w:ascii="Times New Roman" w:hAnsi="Times New Roman"/>
                <w:kern w:val="0"/>
                <w:szCs w:val="21"/>
              </w:rPr>
              <w:t>会议费、培训费</w:t>
            </w:r>
          </w:p>
        </w:tc>
        <w:tc>
          <w:tcPr>
            <w:tcW w:w="2038" w:type="dxa"/>
            <w:tcBorders>
              <w:top w:val="single" w:color="auto" w:sz="4" w:space="0"/>
              <w:left w:val="nil"/>
              <w:bottom w:val="single" w:color="auto" w:sz="4" w:space="0"/>
              <w:right w:val="single" w:color="000000" w:sz="4" w:space="0"/>
            </w:tcBorders>
            <w:vAlign w:val="center"/>
          </w:tcPr>
          <w:p w14:paraId="62A1DC4C">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4.17</w:t>
            </w:r>
          </w:p>
        </w:tc>
        <w:tc>
          <w:tcPr>
            <w:tcW w:w="2240" w:type="dxa"/>
            <w:tcBorders>
              <w:top w:val="single" w:color="auto" w:sz="4" w:space="0"/>
              <w:left w:val="nil"/>
              <w:bottom w:val="single" w:color="auto" w:sz="4" w:space="0"/>
              <w:right w:val="single" w:color="000000" w:sz="4" w:space="0"/>
            </w:tcBorders>
            <w:vAlign w:val="center"/>
          </w:tcPr>
          <w:p w14:paraId="1D4BC62D">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5.28</w:t>
            </w:r>
          </w:p>
        </w:tc>
        <w:tc>
          <w:tcPr>
            <w:tcW w:w="1832" w:type="dxa"/>
            <w:tcBorders>
              <w:top w:val="single" w:color="auto" w:sz="4" w:space="0"/>
              <w:left w:val="nil"/>
              <w:bottom w:val="single" w:color="auto" w:sz="4" w:space="0"/>
              <w:right w:val="single" w:color="000000" w:sz="4" w:space="0"/>
            </w:tcBorders>
            <w:vAlign w:val="center"/>
          </w:tcPr>
          <w:p w14:paraId="0207A266">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1.91</w:t>
            </w:r>
          </w:p>
        </w:tc>
      </w:tr>
      <w:tr w14:paraId="1FA888BF">
        <w:tblPrEx>
          <w:tblCellMar>
            <w:top w:w="0" w:type="dxa"/>
            <w:left w:w="108" w:type="dxa"/>
            <w:bottom w:w="0" w:type="dxa"/>
            <w:right w:w="108" w:type="dxa"/>
          </w:tblCellMar>
        </w:tblPrEx>
        <w:trPr>
          <w:trHeight w:val="432" w:hRule="atLeast"/>
          <w:jc w:val="center"/>
        </w:trPr>
        <w:tc>
          <w:tcPr>
            <w:tcW w:w="3354" w:type="dxa"/>
            <w:tcBorders>
              <w:top w:val="nil"/>
              <w:left w:val="single" w:color="auto" w:sz="4" w:space="0"/>
              <w:bottom w:val="single" w:color="auto" w:sz="4" w:space="0"/>
              <w:right w:val="single" w:color="auto" w:sz="4" w:space="0"/>
            </w:tcBorders>
            <w:vAlign w:val="center"/>
          </w:tcPr>
          <w:p w14:paraId="50D5F8C0">
            <w:pPr>
              <w:widowControl/>
              <w:ind w:firstLine="1155" w:firstLineChars="550"/>
              <w:jc w:val="left"/>
              <w:rPr>
                <w:rFonts w:hint="eastAsia" w:ascii="Times New Roman" w:hAnsi="Times New Roman" w:eastAsia="宋体"/>
                <w:kern w:val="0"/>
                <w:szCs w:val="21"/>
                <w:lang w:eastAsia="zh-CN"/>
              </w:rPr>
            </w:pPr>
            <w:r>
              <w:rPr>
                <w:rFonts w:hint="eastAsia" w:ascii="Times New Roman" w:hAnsi="Times New Roman"/>
                <w:kern w:val="0"/>
                <w:szCs w:val="21"/>
                <w:lang w:val="en-US" w:eastAsia="zh-CN"/>
              </w:rPr>
              <w:t>工会经费</w:t>
            </w:r>
          </w:p>
        </w:tc>
        <w:tc>
          <w:tcPr>
            <w:tcW w:w="2038" w:type="dxa"/>
            <w:tcBorders>
              <w:top w:val="single" w:color="auto" w:sz="4" w:space="0"/>
              <w:left w:val="nil"/>
              <w:bottom w:val="single" w:color="auto" w:sz="4" w:space="0"/>
              <w:right w:val="single" w:color="000000" w:sz="4" w:space="0"/>
            </w:tcBorders>
            <w:vAlign w:val="center"/>
          </w:tcPr>
          <w:p w14:paraId="6111B603">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21.72</w:t>
            </w:r>
          </w:p>
        </w:tc>
        <w:tc>
          <w:tcPr>
            <w:tcW w:w="2240" w:type="dxa"/>
            <w:tcBorders>
              <w:top w:val="single" w:color="auto" w:sz="4" w:space="0"/>
              <w:left w:val="nil"/>
              <w:bottom w:val="single" w:color="auto" w:sz="4" w:space="0"/>
              <w:right w:val="single" w:color="000000" w:sz="4" w:space="0"/>
            </w:tcBorders>
            <w:vAlign w:val="center"/>
          </w:tcPr>
          <w:p w14:paraId="68BF0142">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19.92</w:t>
            </w:r>
          </w:p>
        </w:tc>
        <w:tc>
          <w:tcPr>
            <w:tcW w:w="1832" w:type="dxa"/>
            <w:tcBorders>
              <w:top w:val="single" w:color="auto" w:sz="4" w:space="0"/>
              <w:left w:val="nil"/>
              <w:bottom w:val="single" w:color="auto" w:sz="4" w:space="0"/>
              <w:right w:val="single" w:color="000000" w:sz="4" w:space="0"/>
            </w:tcBorders>
            <w:vAlign w:val="center"/>
          </w:tcPr>
          <w:p w14:paraId="453DE60B">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19.92</w:t>
            </w:r>
          </w:p>
        </w:tc>
      </w:tr>
      <w:tr w14:paraId="1779582D">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4AD3141E">
            <w:pPr>
              <w:widowControl/>
              <w:ind w:firstLine="945" w:firstLineChars="450"/>
              <w:jc w:val="left"/>
              <w:rPr>
                <w:rFonts w:ascii="Times New Roman" w:hAnsi="Times New Roman" w:eastAsia="Times New Roman"/>
                <w:kern w:val="0"/>
                <w:szCs w:val="21"/>
              </w:rPr>
            </w:pPr>
            <w:r>
              <w:rPr>
                <w:rFonts w:ascii="Times New Roman" w:hAnsi="Times New Roman"/>
                <w:kern w:val="0"/>
                <w:szCs w:val="21"/>
              </w:rPr>
              <w:t>三公经费</w:t>
            </w:r>
          </w:p>
        </w:tc>
        <w:tc>
          <w:tcPr>
            <w:tcW w:w="2038" w:type="dxa"/>
            <w:tcBorders>
              <w:top w:val="single" w:color="auto" w:sz="4" w:space="0"/>
              <w:left w:val="nil"/>
              <w:bottom w:val="single" w:color="auto" w:sz="4" w:space="0"/>
              <w:right w:val="single" w:color="000000" w:sz="4" w:space="0"/>
            </w:tcBorders>
            <w:vAlign w:val="center"/>
          </w:tcPr>
          <w:p w14:paraId="5F834843">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76904CB1">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1A6919A4">
            <w:pPr>
              <w:widowControl/>
              <w:jc w:val="center"/>
              <w:rPr>
                <w:rFonts w:ascii="Times New Roman" w:hAnsi="Times New Roman" w:eastAsia="Times New Roman"/>
                <w:kern w:val="0"/>
                <w:szCs w:val="21"/>
              </w:rPr>
            </w:pPr>
            <w:r>
              <w:rPr>
                <w:rFonts w:ascii="Times New Roman" w:hAnsi="Times New Roman"/>
                <w:kern w:val="0"/>
                <w:szCs w:val="21"/>
              </w:rPr>
              <w:t>　</w:t>
            </w:r>
          </w:p>
        </w:tc>
      </w:tr>
      <w:tr w14:paraId="4AE6DC68">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0E9CAC4A">
            <w:pPr>
              <w:widowControl/>
              <w:jc w:val="left"/>
              <w:rPr>
                <w:rFonts w:ascii="Times New Roman" w:hAnsi="Times New Roman" w:eastAsia="Times New Roman"/>
                <w:kern w:val="0"/>
                <w:szCs w:val="21"/>
              </w:rPr>
            </w:pPr>
            <w:r>
              <w:rPr>
                <w:rFonts w:ascii="Times New Roman" w:hAnsi="Times New Roman"/>
                <w:kern w:val="0"/>
                <w:szCs w:val="21"/>
              </w:rPr>
              <w:t xml:space="preserve">   1、公务用车购置和维护经费</w:t>
            </w:r>
          </w:p>
        </w:tc>
        <w:tc>
          <w:tcPr>
            <w:tcW w:w="2038" w:type="dxa"/>
            <w:tcBorders>
              <w:top w:val="single" w:color="auto" w:sz="4" w:space="0"/>
              <w:left w:val="nil"/>
              <w:bottom w:val="single" w:color="auto" w:sz="4" w:space="0"/>
              <w:right w:val="single" w:color="000000" w:sz="4" w:space="0"/>
            </w:tcBorders>
            <w:vAlign w:val="center"/>
          </w:tcPr>
          <w:p w14:paraId="712FEEDF">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4DD15716">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3344034B">
            <w:pPr>
              <w:widowControl/>
              <w:jc w:val="center"/>
              <w:rPr>
                <w:rFonts w:ascii="Times New Roman" w:hAnsi="Times New Roman" w:eastAsia="Times New Roman"/>
                <w:kern w:val="0"/>
                <w:szCs w:val="21"/>
              </w:rPr>
            </w:pPr>
            <w:r>
              <w:rPr>
                <w:rFonts w:ascii="Times New Roman" w:hAnsi="Times New Roman"/>
                <w:kern w:val="0"/>
                <w:szCs w:val="21"/>
              </w:rPr>
              <w:t>　</w:t>
            </w:r>
          </w:p>
        </w:tc>
      </w:tr>
      <w:tr w14:paraId="467B8920">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546FABEF">
            <w:pPr>
              <w:widowControl/>
              <w:jc w:val="left"/>
              <w:rPr>
                <w:rFonts w:ascii="Times New Roman" w:hAnsi="Times New Roman" w:eastAsia="Times New Roman"/>
                <w:kern w:val="0"/>
                <w:szCs w:val="21"/>
              </w:rPr>
            </w:pPr>
            <w:r>
              <w:rPr>
                <w:rFonts w:ascii="Times New Roman" w:hAnsi="Times New Roman"/>
                <w:kern w:val="0"/>
                <w:szCs w:val="21"/>
              </w:rPr>
              <w:t>其中：公交车购置</w:t>
            </w:r>
          </w:p>
        </w:tc>
        <w:tc>
          <w:tcPr>
            <w:tcW w:w="2038" w:type="dxa"/>
            <w:tcBorders>
              <w:top w:val="single" w:color="auto" w:sz="4" w:space="0"/>
              <w:left w:val="nil"/>
              <w:bottom w:val="single" w:color="auto" w:sz="4" w:space="0"/>
              <w:right w:val="single" w:color="000000" w:sz="4" w:space="0"/>
            </w:tcBorders>
            <w:vAlign w:val="center"/>
          </w:tcPr>
          <w:p w14:paraId="3A528182">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5760CD1D">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74116841">
            <w:pPr>
              <w:widowControl/>
              <w:jc w:val="center"/>
              <w:rPr>
                <w:rFonts w:ascii="Times New Roman" w:hAnsi="Times New Roman" w:eastAsia="Times New Roman"/>
                <w:kern w:val="0"/>
                <w:szCs w:val="21"/>
              </w:rPr>
            </w:pPr>
            <w:r>
              <w:rPr>
                <w:rFonts w:ascii="Times New Roman" w:hAnsi="Times New Roman"/>
                <w:kern w:val="0"/>
                <w:szCs w:val="21"/>
              </w:rPr>
              <w:t>　</w:t>
            </w:r>
          </w:p>
        </w:tc>
      </w:tr>
      <w:tr w14:paraId="287A2317">
        <w:tblPrEx>
          <w:tblCellMar>
            <w:top w:w="0" w:type="dxa"/>
            <w:left w:w="108" w:type="dxa"/>
            <w:bottom w:w="0" w:type="dxa"/>
            <w:right w:w="108" w:type="dxa"/>
          </w:tblCellMar>
        </w:tblPrEx>
        <w:trPr>
          <w:trHeight w:val="499" w:hRule="atLeast"/>
          <w:jc w:val="center"/>
        </w:trPr>
        <w:tc>
          <w:tcPr>
            <w:tcW w:w="3354" w:type="dxa"/>
            <w:tcBorders>
              <w:top w:val="nil"/>
              <w:left w:val="single" w:color="auto" w:sz="4" w:space="0"/>
              <w:bottom w:val="single" w:color="auto" w:sz="4" w:space="0"/>
              <w:right w:val="single" w:color="auto" w:sz="4" w:space="0"/>
            </w:tcBorders>
            <w:vAlign w:val="center"/>
          </w:tcPr>
          <w:p w14:paraId="1500ADD1">
            <w:pPr>
              <w:widowControl/>
              <w:jc w:val="left"/>
              <w:rPr>
                <w:rFonts w:ascii="Times New Roman" w:hAnsi="Times New Roman" w:eastAsia="Times New Roman"/>
                <w:kern w:val="0"/>
                <w:szCs w:val="21"/>
              </w:rPr>
            </w:pPr>
            <w:r>
              <w:rPr>
                <w:rFonts w:ascii="Times New Roman" w:hAnsi="Times New Roman"/>
                <w:kern w:val="0"/>
                <w:szCs w:val="21"/>
              </w:rPr>
              <w:t>公交车运行维护</w:t>
            </w:r>
          </w:p>
        </w:tc>
        <w:tc>
          <w:tcPr>
            <w:tcW w:w="2038" w:type="dxa"/>
            <w:tcBorders>
              <w:top w:val="single" w:color="auto" w:sz="4" w:space="0"/>
              <w:left w:val="nil"/>
              <w:bottom w:val="single" w:color="auto" w:sz="4" w:space="0"/>
              <w:right w:val="single" w:color="000000" w:sz="4" w:space="0"/>
            </w:tcBorders>
            <w:vAlign w:val="center"/>
          </w:tcPr>
          <w:p w14:paraId="795B63ED">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74E15698">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3AB7A3E3">
            <w:pPr>
              <w:widowControl/>
              <w:jc w:val="center"/>
              <w:rPr>
                <w:rFonts w:ascii="Times New Roman" w:hAnsi="Times New Roman" w:eastAsia="Times New Roman"/>
                <w:kern w:val="0"/>
                <w:szCs w:val="21"/>
              </w:rPr>
            </w:pPr>
            <w:r>
              <w:rPr>
                <w:rFonts w:ascii="Times New Roman" w:hAnsi="Times New Roman"/>
                <w:kern w:val="0"/>
                <w:szCs w:val="21"/>
              </w:rPr>
              <w:t>　</w:t>
            </w:r>
          </w:p>
        </w:tc>
      </w:tr>
      <w:tr w14:paraId="06B3CD2B">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08D46EAA">
            <w:pPr>
              <w:widowControl/>
              <w:jc w:val="left"/>
              <w:rPr>
                <w:rFonts w:ascii="Times New Roman" w:hAnsi="Times New Roman" w:eastAsia="Times New Roman"/>
                <w:kern w:val="0"/>
                <w:szCs w:val="21"/>
              </w:rPr>
            </w:pPr>
            <w:r>
              <w:rPr>
                <w:rFonts w:ascii="Times New Roman" w:hAnsi="Times New Roman"/>
                <w:kern w:val="0"/>
                <w:szCs w:val="21"/>
              </w:rPr>
              <w:t xml:space="preserve">   2、出国经费</w:t>
            </w:r>
          </w:p>
        </w:tc>
        <w:tc>
          <w:tcPr>
            <w:tcW w:w="2038" w:type="dxa"/>
            <w:tcBorders>
              <w:top w:val="single" w:color="auto" w:sz="4" w:space="0"/>
              <w:left w:val="nil"/>
              <w:bottom w:val="single" w:color="auto" w:sz="4" w:space="0"/>
              <w:right w:val="single" w:color="000000" w:sz="4" w:space="0"/>
            </w:tcBorders>
            <w:vAlign w:val="center"/>
          </w:tcPr>
          <w:p w14:paraId="5E44CA4D">
            <w:pPr>
              <w:widowControl/>
              <w:jc w:val="center"/>
              <w:rPr>
                <w:rFonts w:ascii="Times New Roman" w:hAnsi="Times New Roman" w:eastAsia="Times New Roman"/>
                <w:kern w:val="0"/>
                <w:szCs w:val="21"/>
              </w:rPr>
            </w:pP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15B864EA">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24B3E222">
            <w:pPr>
              <w:widowControl/>
              <w:jc w:val="center"/>
              <w:rPr>
                <w:rFonts w:ascii="Times New Roman" w:hAnsi="Times New Roman" w:eastAsia="Times New Roman"/>
                <w:kern w:val="0"/>
                <w:szCs w:val="21"/>
              </w:rPr>
            </w:pPr>
            <w:r>
              <w:rPr>
                <w:rFonts w:ascii="Times New Roman" w:hAnsi="Times New Roman"/>
                <w:kern w:val="0"/>
                <w:szCs w:val="21"/>
              </w:rPr>
              <w:t>　</w:t>
            </w:r>
          </w:p>
        </w:tc>
      </w:tr>
      <w:tr w14:paraId="40F5555F">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765B4E96">
            <w:pPr>
              <w:widowControl/>
              <w:jc w:val="left"/>
              <w:rPr>
                <w:rFonts w:ascii="Times New Roman" w:hAnsi="Times New Roman" w:eastAsia="Times New Roman"/>
                <w:kern w:val="0"/>
                <w:szCs w:val="21"/>
              </w:rPr>
            </w:pPr>
            <w:r>
              <w:rPr>
                <w:rFonts w:ascii="Times New Roman" w:hAnsi="Times New Roman"/>
                <w:kern w:val="0"/>
                <w:szCs w:val="21"/>
              </w:rPr>
              <w:t xml:space="preserve">   3、公务接待</w:t>
            </w:r>
          </w:p>
        </w:tc>
        <w:tc>
          <w:tcPr>
            <w:tcW w:w="2038" w:type="dxa"/>
            <w:tcBorders>
              <w:top w:val="single" w:color="auto" w:sz="4" w:space="0"/>
              <w:left w:val="nil"/>
              <w:bottom w:val="single" w:color="auto" w:sz="4" w:space="0"/>
              <w:right w:val="single" w:color="000000" w:sz="4" w:space="0"/>
            </w:tcBorders>
            <w:vAlign w:val="center"/>
          </w:tcPr>
          <w:p w14:paraId="525CAAC5">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lang w:val="en-US" w:eastAsia="zh-CN"/>
              </w:rPr>
              <w:t>0.06</w:t>
            </w:r>
          </w:p>
        </w:tc>
        <w:tc>
          <w:tcPr>
            <w:tcW w:w="2240" w:type="dxa"/>
            <w:tcBorders>
              <w:top w:val="single" w:color="auto" w:sz="4" w:space="0"/>
              <w:left w:val="nil"/>
              <w:bottom w:val="single" w:color="auto" w:sz="4" w:space="0"/>
              <w:right w:val="single" w:color="000000" w:sz="4" w:space="0"/>
            </w:tcBorders>
            <w:vAlign w:val="center"/>
          </w:tcPr>
          <w:p w14:paraId="0713F627">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1</w:t>
            </w: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50EA5704">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0.3</w:t>
            </w:r>
          </w:p>
        </w:tc>
      </w:tr>
      <w:tr w14:paraId="5E566C8C">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1591DF40">
            <w:pPr>
              <w:widowControl/>
              <w:jc w:val="left"/>
              <w:rPr>
                <w:rFonts w:ascii="Times New Roman" w:hAnsi="Times New Roman" w:eastAsia="Times New Roman"/>
                <w:kern w:val="0"/>
                <w:szCs w:val="21"/>
              </w:rPr>
            </w:pPr>
            <w:r>
              <w:rPr>
                <w:rFonts w:ascii="Times New Roman" w:hAnsi="Times New Roman"/>
                <w:kern w:val="0"/>
                <w:szCs w:val="21"/>
              </w:rPr>
              <w:t>二、部门项目支出</w:t>
            </w:r>
          </w:p>
        </w:tc>
        <w:tc>
          <w:tcPr>
            <w:tcW w:w="2038" w:type="dxa"/>
            <w:tcBorders>
              <w:top w:val="single" w:color="auto" w:sz="4" w:space="0"/>
              <w:left w:val="nil"/>
              <w:bottom w:val="single" w:color="auto" w:sz="4" w:space="0"/>
              <w:right w:val="single" w:color="000000" w:sz="4" w:space="0"/>
            </w:tcBorders>
            <w:vAlign w:val="center"/>
          </w:tcPr>
          <w:p w14:paraId="67BA18B5">
            <w:pPr>
              <w:widowControl/>
              <w:jc w:val="center"/>
              <w:rPr>
                <w:rFonts w:ascii="Times New Roman" w:hAnsi="Times New Roman" w:eastAsia="Times New Roman" w:cs="Times New Roman"/>
                <w:kern w:val="0"/>
                <w:sz w:val="21"/>
                <w:szCs w:val="21"/>
                <w:lang w:val="en-US" w:eastAsia="zh-CN" w:bidi="ar-SA"/>
              </w:rPr>
            </w:pPr>
            <w:r>
              <w:rPr>
                <w:rFonts w:hint="eastAsia" w:ascii="Times New Roman" w:hAnsi="Times New Roman"/>
                <w:kern w:val="0"/>
                <w:szCs w:val="21"/>
                <w:lang w:val="en-US" w:eastAsia="zh-CN"/>
              </w:rPr>
              <w:t>173.22</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6C4DB911">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2E367061">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387.45</w:t>
            </w:r>
          </w:p>
        </w:tc>
      </w:tr>
      <w:tr w14:paraId="5754C1E0">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65AE16C2">
            <w:pPr>
              <w:widowControl/>
              <w:ind w:firstLine="210" w:firstLineChars="100"/>
              <w:jc w:val="left"/>
              <w:rPr>
                <w:rFonts w:hint="eastAsia" w:ascii="Times New Roman" w:hAnsi="Times New Roman"/>
                <w:kern w:val="0"/>
                <w:szCs w:val="21"/>
                <w:lang w:val="en-US" w:eastAsia="zh-CN"/>
              </w:rPr>
            </w:pPr>
            <w:r>
              <w:rPr>
                <w:rFonts w:hint="eastAsia" w:ascii="Times New Roman" w:hAnsi="Times New Roman"/>
                <w:kern w:val="0"/>
                <w:szCs w:val="21"/>
                <w:lang w:val="en-US" w:eastAsia="zh-CN"/>
              </w:rPr>
              <w:t>农村公路养护工程</w:t>
            </w:r>
          </w:p>
        </w:tc>
        <w:tc>
          <w:tcPr>
            <w:tcW w:w="2038" w:type="dxa"/>
            <w:tcBorders>
              <w:top w:val="single" w:color="auto" w:sz="4" w:space="0"/>
              <w:left w:val="nil"/>
              <w:bottom w:val="single" w:color="auto" w:sz="4" w:space="0"/>
              <w:right w:val="single" w:color="000000" w:sz="4" w:space="0"/>
            </w:tcBorders>
            <w:vAlign w:val="center"/>
          </w:tcPr>
          <w:p w14:paraId="2E7D02DE">
            <w:pPr>
              <w:widowControl/>
              <w:jc w:val="center"/>
              <w:rPr>
                <w:rFonts w:ascii="Times New Roman" w:hAnsi="Times New Roman" w:eastAsia="Times New Roman" w:cs="Times New Roman"/>
                <w:kern w:val="0"/>
                <w:sz w:val="21"/>
                <w:szCs w:val="21"/>
                <w:lang w:val="en-US" w:eastAsia="zh-CN" w:bidi="ar-SA"/>
              </w:rPr>
            </w:pPr>
            <w:r>
              <w:rPr>
                <w:rFonts w:hint="eastAsia" w:ascii="Times New Roman" w:hAnsi="Times New Roman"/>
                <w:kern w:val="0"/>
                <w:szCs w:val="21"/>
                <w:lang w:val="en-US" w:eastAsia="zh-CN"/>
              </w:rPr>
              <w:t>4</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18584FBD">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6B7C8853">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242.10</w:t>
            </w:r>
            <w:r>
              <w:rPr>
                <w:rFonts w:ascii="Times New Roman" w:hAnsi="Times New Roman"/>
                <w:kern w:val="0"/>
                <w:szCs w:val="21"/>
              </w:rPr>
              <w:t>　</w:t>
            </w:r>
          </w:p>
        </w:tc>
      </w:tr>
      <w:tr w14:paraId="68487589">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0E205567">
            <w:pPr>
              <w:widowControl/>
              <w:ind w:firstLine="210" w:firstLineChars="100"/>
              <w:jc w:val="left"/>
              <w:rPr>
                <w:rFonts w:hint="eastAsia" w:ascii="Times New Roman" w:hAnsi="Times New Roman"/>
                <w:kern w:val="0"/>
                <w:szCs w:val="21"/>
                <w:lang w:val="en-US" w:eastAsia="zh-CN"/>
              </w:rPr>
            </w:pPr>
            <w:r>
              <w:rPr>
                <w:rFonts w:hint="eastAsia" w:ascii="Times New Roman" w:hAnsi="Times New Roman"/>
                <w:kern w:val="0"/>
                <w:szCs w:val="21"/>
                <w:lang w:val="en-US" w:eastAsia="zh-CN"/>
              </w:rPr>
              <w:t>农村公路日常养护</w:t>
            </w:r>
          </w:p>
        </w:tc>
        <w:tc>
          <w:tcPr>
            <w:tcW w:w="2038" w:type="dxa"/>
            <w:tcBorders>
              <w:top w:val="single" w:color="auto" w:sz="4" w:space="0"/>
              <w:left w:val="nil"/>
              <w:bottom w:val="single" w:color="auto" w:sz="4" w:space="0"/>
              <w:right w:val="single" w:color="000000" w:sz="4" w:space="0"/>
            </w:tcBorders>
            <w:vAlign w:val="center"/>
          </w:tcPr>
          <w:p w14:paraId="690D4F58">
            <w:pPr>
              <w:widowControl/>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kern w:val="0"/>
                <w:sz w:val="21"/>
                <w:szCs w:val="21"/>
                <w:lang w:val="en-US" w:eastAsia="zh-CN" w:bidi="ar-SA"/>
              </w:rPr>
              <w:t>93.06</w:t>
            </w:r>
          </w:p>
        </w:tc>
        <w:tc>
          <w:tcPr>
            <w:tcW w:w="2240" w:type="dxa"/>
            <w:tcBorders>
              <w:top w:val="single" w:color="auto" w:sz="4" w:space="0"/>
              <w:left w:val="nil"/>
              <w:bottom w:val="single" w:color="auto" w:sz="4" w:space="0"/>
              <w:right w:val="single" w:color="000000" w:sz="4" w:space="0"/>
            </w:tcBorders>
            <w:vAlign w:val="center"/>
          </w:tcPr>
          <w:p w14:paraId="1C701539">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14:paraId="5ED75989">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95.2</w:t>
            </w:r>
          </w:p>
        </w:tc>
      </w:tr>
      <w:tr w14:paraId="527E8695">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714B6522">
            <w:pPr>
              <w:widowControl/>
              <w:ind w:firstLine="210" w:firstLineChars="100"/>
              <w:jc w:val="left"/>
              <w:rPr>
                <w:rFonts w:hint="eastAsia" w:ascii="Times New Roman" w:hAnsi="Times New Roman"/>
                <w:kern w:val="0"/>
                <w:szCs w:val="21"/>
                <w:lang w:val="en-US" w:eastAsia="zh-CN"/>
              </w:rPr>
            </w:pPr>
            <w:r>
              <w:rPr>
                <w:rFonts w:hint="eastAsia" w:ascii="Times New Roman" w:hAnsi="Times New Roman"/>
                <w:kern w:val="0"/>
                <w:szCs w:val="21"/>
                <w:lang w:val="en-US" w:eastAsia="zh-CN"/>
              </w:rPr>
              <w:t>安防工程</w:t>
            </w:r>
          </w:p>
        </w:tc>
        <w:tc>
          <w:tcPr>
            <w:tcW w:w="2038" w:type="dxa"/>
            <w:tcBorders>
              <w:top w:val="single" w:color="auto" w:sz="4" w:space="0"/>
              <w:left w:val="nil"/>
              <w:bottom w:val="single" w:color="auto" w:sz="4" w:space="0"/>
              <w:right w:val="single" w:color="000000" w:sz="4" w:space="0"/>
            </w:tcBorders>
            <w:vAlign w:val="center"/>
          </w:tcPr>
          <w:p w14:paraId="02D0178E">
            <w:pPr>
              <w:widowControl/>
              <w:jc w:val="center"/>
              <w:rPr>
                <w:rFonts w:ascii="Times New Roman" w:hAnsi="Times New Roman" w:eastAsia="Times New Roman" w:cs="Times New Roman"/>
                <w:kern w:val="0"/>
                <w:sz w:val="21"/>
                <w:szCs w:val="21"/>
                <w:lang w:val="en-US" w:eastAsia="zh-CN" w:bidi="ar-SA"/>
              </w:rPr>
            </w:pPr>
            <w:r>
              <w:rPr>
                <w:rFonts w:hint="eastAsia" w:ascii="Times New Roman" w:hAnsi="Times New Roman"/>
                <w:kern w:val="0"/>
                <w:szCs w:val="21"/>
                <w:lang w:val="en-US" w:eastAsia="zh-CN"/>
              </w:rPr>
              <w:t>34.89</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04D81D5D">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14:paraId="13CEAE7E">
            <w:pPr>
              <w:widowControl/>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23</w:t>
            </w:r>
          </w:p>
        </w:tc>
      </w:tr>
      <w:tr w14:paraId="4C82D2A7">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3997D2B1">
            <w:pPr>
              <w:widowControl/>
              <w:ind w:firstLine="210" w:firstLineChars="100"/>
              <w:jc w:val="left"/>
              <w:rPr>
                <w:rFonts w:hint="default" w:ascii="Times New Roman" w:hAnsi="Times New Roman"/>
                <w:kern w:val="0"/>
                <w:szCs w:val="21"/>
                <w:lang w:val="en-US" w:eastAsia="zh-CN"/>
              </w:rPr>
            </w:pPr>
            <w:r>
              <w:rPr>
                <w:rFonts w:hint="eastAsia" w:ascii="Times New Roman" w:hAnsi="Times New Roman"/>
                <w:kern w:val="0"/>
                <w:szCs w:val="21"/>
                <w:lang w:val="en-US" w:eastAsia="zh-CN"/>
              </w:rPr>
              <w:t xml:space="preserve"> G107号</w:t>
            </w:r>
          </w:p>
        </w:tc>
        <w:tc>
          <w:tcPr>
            <w:tcW w:w="2038" w:type="dxa"/>
            <w:tcBorders>
              <w:top w:val="single" w:color="auto" w:sz="4" w:space="0"/>
              <w:left w:val="nil"/>
              <w:bottom w:val="single" w:color="auto" w:sz="4" w:space="0"/>
              <w:right w:val="single" w:color="000000" w:sz="4" w:space="0"/>
            </w:tcBorders>
            <w:vAlign w:val="center"/>
          </w:tcPr>
          <w:p w14:paraId="471D2EB9">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37.27</w:t>
            </w:r>
          </w:p>
        </w:tc>
        <w:tc>
          <w:tcPr>
            <w:tcW w:w="2240" w:type="dxa"/>
            <w:tcBorders>
              <w:top w:val="single" w:color="auto" w:sz="4" w:space="0"/>
              <w:left w:val="nil"/>
              <w:bottom w:val="single" w:color="auto" w:sz="4" w:space="0"/>
              <w:right w:val="single" w:color="000000" w:sz="4" w:space="0"/>
            </w:tcBorders>
            <w:vAlign w:val="center"/>
          </w:tcPr>
          <w:p w14:paraId="04670BC0">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4165B847">
            <w:pPr>
              <w:widowControl/>
              <w:jc w:val="center"/>
              <w:rPr>
                <w:rFonts w:ascii="Times New Roman" w:hAnsi="Times New Roman" w:eastAsia="Times New Roman"/>
                <w:kern w:val="0"/>
                <w:szCs w:val="21"/>
              </w:rPr>
            </w:pPr>
            <w:r>
              <w:rPr>
                <w:rFonts w:hint="eastAsia" w:ascii="Times New Roman" w:hAnsi="Times New Roman"/>
                <w:kern w:val="0"/>
                <w:szCs w:val="21"/>
                <w:lang w:val="en-US" w:eastAsia="zh-CN"/>
              </w:rPr>
              <w:t>27.15</w:t>
            </w:r>
            <w:r>
              <w:rPr>
                <w:rFonts w:ascii="Times New Roman" w:hAnsi="Times New Roman"/>
                <w:kern w:val="0"/>
                <w:szCs w:val="21"/>
              </w:rPr>
              <w:t>　</w:t>
            </w:r>
          </w:p>
        </w:tc>
      </w:tr>
      <w:tr w14:paraId="5600CC51">
        <w:tblPrEx>
          <w:tblCellMar>
            <w:top w:w="0" w:type="dxa"/>
            <w:left w:w="108" w:type="dxa"/>
            <w:bottom w:w="0" w:type="dxa"/>
            <w:right w:w="108" w:type="dxa"/>
          </w:tblCellMar>
        </w:tblPrEx>
        <w:trPr>
          <w:trHeight w:val="424" w:hRule="atLeast"/>
          <w:jc w:val="center"/>
        </w:trPr>
        <w:tc>
          <w:tcPr>
            <w:tcW w:w="3354" w:type="dxa"/>
            <w:tcBorders>
              <w:top w:val="nil"/>
              <w:left w:val="single" w:color="auto" w:sz="4" w:space="0"/>
              <w:bottom w:val="single" w:color="auto" w:sz="4" w:space="0"/>
              <w:right w:val="single" w:color="auto" w:sz="4" w:space="0"/>
            </w:tcBorders>
            <w:vAlign w:val="center"/>
          </w:tcPr>
          <w:p w14:paraId="3921D7ED">
            <w:pPr>
              <w:widowControl/>
              <w:jc w:val="center"/>
              <w:rPr>
                <w:rFonts w:ascii="Times New Roman" w:hAnsi="Times New Roman" w:eastAsia="Times New Roman"/>
                <w:kern w:val="0"/>
                <w:szCs w:val="21"/>
              </w:rPr>
            </w:pPr>
            <w:r>
              <w:rPr>
                <w:rFonts w:hint="eastAsia" w:ascii="Times New Roman" w:hAnsi="Times New Roman"/>
                <w:color w:val="auto"/>
                <w:kern w:val="0"/>
                <w:szCs w:val="21"/>
                <w:lang w:val="en-US" w:eastAsia="zh-CN"/>
              </w:rPr>
              <w:t>X044号</w:t>
            </w:r>
          </w:p>
        </w:tc>
        <w:tc>
          <w:tcPr>
            <w:tcW w:w="2038" w:type="dxa"/>
            <w:tcBorders>
              <w:top w:val="single" w:color="auto" w:sz="4" w:space="0"/>
              <w:left w:val="nil"/>
              <w:bottom w:val="single" w:color="auto" w:sz="4" w:space="0"/>
              <w:right w:val="single" w:color="000000" w:sz="4" w:space="0"/>
            </w:tcBorders>
            <w:vAlign w:val="center"/>
          </w:tcPr>
          <w:p w14:paraId="78EE8497">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4</w:t>
            </w:r>
          </w:p>
        </w:tc>
        <w:tc>
          <w:tcPr>
            <w:tcW w:w="2240" w:type="dxa"/>
            <w:tcBorders>
              <w:top w:val="single" w:color="auto" w:sz="4" w:space="0"/>
              <w:left w:val="nil"/>
              <w:bottom w:val="single" w:color="auto" w:sz="4" w:space="0"/>
              <w:right w:val="single" w:color="000000" w:sz="4" w:space="0"/>
            </w:tcBorders>
            <w:vAlign w:val="center"/>
          </w:tcPr>
          <w:p w14:paraId="343A75B3">
            <w:pPr>
              <w:widowControl/>
              <w:jc w:val="center"/>
              <w:rPr>
                <w:rFonts w:ascii="Times New Roman" w:hAnsi="Times New Roman" w:eastAsia="Times New Roman"/>
                <w:kern w:val="0"/>
                <w:szCs w:val="21"/>
              </w:rPr>
            </w:pPr>
          </w:p>
        </w:tc>
        <w:tc>
          <w:tcPr>
            <w:tcW w:w="1832" w:type="dxa"/>
            <w:tcBorders>
              <w:top w:val="single" w:color="auto" w:sz="4" w:space="0"/>
              <w:left w:val="nil"/>
              <w:bottom w:val="single" w:color="auto" w:sz="4" w:space="0"/>
              <w:right w:val="single" w:color="000000" w:sz="4" w:space="0"/>
            </w:tcBorders>
            <w:vAlign w:val="center"/>
          </w:tcPr>
          <w:p w14:paraId="6D4747C7">
            <w:pPr>
              <w:widowControl/>
              <w:jc w:val="center"/>
              <w:rPr>
                <w:rFonts w:ascii="Times New Roman" w:hAnsi="Times New Roman" w:eastAsia="Times New Roman"/>
                <w:kern w:val="0"/>
                <w:szCs w:val="21"/>
              </w:rPr>
            </w:pPr>
          </w:p>
        </w:tc>
      </w:tr>
      <w:tr w14:paraId="60FE4585">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6727868E">
            <w:pPr>
              <w:widowControl/>
              <w:jc w:val="left"/>
              <w:rPr>
                <w:rFonts w:ascii="Times New Roman" w:hAnsi="Times New Roman" w:eastAsia="Times New Roman"/>
                <w:kern w:val="0"/>
                <w:szCs w:val="21"/>
              </w:rPr>
            </w:pPr>
            <w:r>
              <w:rPr>
                <w:rFonts w:ascii="Times New Roman" w:hAnsi="Times New Roman"/>
                <w:kern w:val="0"/>
                <w:szCs w:val="21"/>
              </w:rPr>
              <w:t>政府采购金额</w:t>
            </w:r>
          </w:p>
        </w:tc>
        <w:tc>
          <w:tcPr>
            <w:tcW w:w="2038" w:type="dxa"/>
            <w:tcBorders>
              <w:top w:val="single" w:color="auto" w:sz="4" w:space="0"/>
              <w:left w:val="nil"/>
              <w:bottom w:val="single" w:color="auto" w:sz="4" w:space="0"/>
              <w:right w:val="single" w:color="000000" w:sz="4" w:space="0"/>
            </w:tcBorders>
            <w:vAlign w:val="center"/>
          </w:tcPr>
          <w:p w14:paraId="71475EB6">
            <w:pPr>
              <w:widowControl/>
              <w:jc w:val="center"/>
              <w:rPr>
                <w:rFonts w:ascii="Times New Roman" w:hAnsi="Times New Roman" w:eastAsia="Times New Roman" w:cs="Times New Roman"/>
                <w:kern w:val="0"/>
                <w:sz w:val="21"/>
                <w:szCs w:val="21"/>
                <w:lang w:val="en-US" w:eastAsia="zh-CN" w:bidi="ar-SA"/>
              </w:rPr>
            </w:pPr>
            <w:r>
              <w:rPr>
                <w:rFonts w:hint="eastAsia" w:ascii="Times New Roman" w:hAnsi="Times New Roman"/>
                <w:kern w:val="0"/>
                <w:szCs w:val="21"/>
                <w:lang w:val="en-US" w:eastAsia="zh-CN"/>
              </w:rPr>
              <w:t>135.14</w:t>
            </w:r>
            <w:r>
              <w:rPr>
                <w:rFonts w:ascii="Times New Roman" w:hAnsi="Times New Roman"/>
                <w:kern w:val="0"/>
                <w:szCs w:val="21"/>
              </w:rPr>
              <w:t>　</w:t>
            </w:r>
          </w:p>
        </w:tc>
        <w:tc>
          <w:tcPr>
            <w:tcW w:w="2240" w:type="dxa"/>
            <w:tcBorders>
              <w:top w:val="single" w:color="auto" w:sz="4" w:space="0"/>
              <w:left w:val="nil"/>
              <w:bottom w:val="single" w:color="auto" w:sz="4" w:space="0"/>
              <w:right w:val="single" w:color="000000" w:sz="4" w:space="0"/>
            </w:tcBorders>
            <w:vAlign w:val="center"/>
          </w:tcPr>
          <w:p w14:paraId="4283D476">
            <w:pPr>
              <w:widowControl/>
              <w:jc w:val="center"/>
              <w:rPr>
                <w:rFonts w:ascii="Times New Roman" w:hAnsi="Times New Roman" w:eastAsia="Times New Roman"/>
                <w:kern w:val="0"/>
                <w:szCs w:val="21"/>
              </w:rPr>
            </w:pPr>
            <w:r>
              <w:rPr>
                <w:rFonts w:ascii="Times New Roman" w:hAnsi="Times New Roman"/>
                <w:kern w:val="0"/>
                <w:szCs w:val="21"/>
              </w:rPr>
              <w:t>　</w:t>
            </w:r>
          </w:p>
        </w:tc>
        <w:tc>
          <w:tcPr>
            <w:tcW w:w="1832" w:type="dxa"/>
            <w:tcBorders>
              <w:top w:val="single" w:color="auto" w:sz="4" w:space="0"/>
              <w:left w:val="nil"/>
              <w:bottom w:val="single" w:color="auto" w:sz="4" w:space="0"/>
              <w:right w:val="single" w:color="000000" w:sz="4" w:space="0"/>
            </w:tcBorders>
            <w:vAlign w:val="center"/>
          </w:tcPr>
          <w:p w14:paraId="5B75CDE9">
            <w:pPr>
              <w:widowControl/>
              <w:jc w:val="center"/>
              <w:rPr>
                <w:rFonts w:hint="default" w:ascii="Times New Roman" w:hAnsi="Times New Roman" w:eastAsia="宋体"/>
                <w:kern w:val="0"/>
                <w:szCs w:val="21"/>
                <w:lang w:val="en-US" w:eastAsia="zh-CN"/>
              </w:rPr>
            </w:pPr>
            <w:r>
              <w:rPr>
                <w:rFonts w:ascii="Times New Roman" w:hAnsi="Times New Roman"/>
                <w:kern w:val="0"/>
                <w:szCs w:val="21"/>
              </w:rPr>
              <w:t>　</w:t>
            </w:r>
            <w:r>
              <w:rPr>
                <w:rFonts w:hint="eastAsia" w:ascii="Times New Roman" w:hAnsi="Times New Roman"/>
                <w:kern w:val="0"/>
                <w:szCs w:val="21"/>
                <w:lang w:val="en-US" w:eastAsia="zh-CN"/>
              </w:rPr>
              <w:t>187.43</w:t>
            </w:r>
          </w:p>
        </w:tc>
      </w:tr>
      <w:tr w14:paraId="25D419B8">
        <w:tblPrEx>
          <w:tblCellMar>
            <w:top w:w="0" w:type="dxa"/>
            <w:left w:w="108" w:type="dxa"/>
            <w:bottom w:w="0" w:type="dxa"/>
            <w:right w:w="108" w:type="dxa"/>
          </w:tblCellMar>
        </w:tblPrEx>
        <w:trPr>
          <w:trHeight w:val="875" w:hRule="atLeast"/>
          <w:jc w:val="center"/>
        </w:trPr>
        <w:tc>
          <w:tcPr>
            <w:tcW w:w="3354" w:type="dxa"/>
            <w:tcBorders>
              <w:top w:val="nil"/>
              <w:left w:val="single" w:color="auto" w:sz="4" w:space="0"/>
              <w:bottom w:val="single" w:color="auto" w:sz="4" w:space="0"/>
              <w:right w:val="single" w:color="auto" w:sz="4" w:space="0"/>
            </w:tcBorders>
            <w:vAlign w:val="center"/>
          </w:tcPr>
          <w:p w14:paraId="26117FF0">
            <w:pPr>
              <w:widowControl/>
              <w:jc w:val="center"/>
              <w:rPr>
                <w:rFonts w:ascii="Times New Roman" w:hAnsi="Times New Roman" w:eastAsia="Times New Roman"/>
                <w:kern w:val="0"/>
                <w:szCs w:val="21"/>
              </w:rPr>
            </w:pPr>
            <w:r>
              <w:rPr>
                <w:rFonts w:ascii="Times New Roman" w:hAnsi="Times New Roman"/>
                <w:kern w:val="0"/>
                <w:szCs w:val="21"/>
              </w:rPr>
              <w:t>厉行节约保障措施</w:t>
            </w:r>
          </w:p>
        </w:tc>
        <w:tc>
          <w:tcPr>
            <w:tcW w:w="6110" w:type="dxa"/>
            <w:gridSpan w:val="3"/>
            <w:tcBorders>
              <w:top w:val="single" w:color="auto" w:sz="4" w:space="0"/>
              <w:left w:val="nil"/>
              <w:bottom w:val="single" w:color="auto" w:sz="4" w:space="0"/>
              <w:right w:val="single" w:color="000000" w:sz="4" w:space="0"/>
            </w:tcBorders>
            <w:vAlign w:val="center"/>
          </w:tcPr>
          <w:p w14:paraId="37788D4F">
            <w:pPr>
              <w:widowControl/>
              <w:jc w:val="center"/>
              <w:rPr>
                <w:rFonts w:ascii="Times New Roman" w:hAnsi="Times New Roman" w:eastAsia="Times New Roman"/>
                <w:kern w:val="0"/>
                <w:szCs w:val="21"/>
              </w:rPr>
            </w:pPr>
            <w:r>
              <w:rPr>
                <w:rFonts w:ascii="Times New Roman" w:hAnsi="Times New Roman"/>
                <w:kern w:val="0"/>
                <w:szCs w:val="21"/>
              </w:rPr>
              <w:t>　</w:t>
            </w:r>
          </w:p>
        </w:tc>
      </w:tr>
    </w:tbl>
    <w:p w14:paraId="25DA6E1B">
      <w:pPr>
        <w:rPr>
          <w:rFonts w:ascii="Times New Roman" w:hAnsi="Times New Roman"/>
          <w:kern w:val="0"/>
          <w:sz w:val="22"/>
        </w:rPr>
      </w:pPr>
      <w:r>
        <w:rPr>
          <w:rFonts w:ascii="Times New Roman" w:hAnsi="Times New Roman"/>
          <w:kern w:val="0"/>
          <w:sz w:val="22"/>
        </w:rPr>
        <w:t>说明：“项目支出”需要填报基本支出以外的所有项目支出情况，包括业务工作项目、运行维护项目和市级专项资金等；“公用经费”填报基本支出中的一般商品和服务支出。</w:t>
      </w:r>
    </w:p>
    <w:p w14:paraId="73A00311">
      <w:pPr>
        <w:rPr>
          <w:rFonts w:ascii="Times New Roman" w:hAnsi="Times New Roman"/>
          <w:kern w:val="0"/>
          <w:sz w:val="22"/>
        </w:rPr>
      </w:pPr>
    </w:p>
    <w:p w14:paraId="4F108549">
      <w:pPr>
        <w:spacing w:beforeLines="50"/>
        <w:sectPr>
          <w:pgSz w:w="11906" w:h="16838"/>
          <w:pgMar w:top="1134" w:right="1689" w:bottom="1134" w:left="1689" w:header="851" w:footer="992" w:gutter="0"/>
          <w:cols w:space="0" w:num="1"/>
          <w:rtlGutter w:val="0"/>
          <w:docGrid w:type="lines" w:linePitch="312" w:charSpace="0"/>
        </w:sectPr>
      </w:pPr>
    </w:p>
    <w:p w14:paraId="1B5885BE">
      <w:pPr>
        <w:rPr>
          <w:rFonts w:ascii="Times New Roman" w:hAnsi="Times New Roman" w:eastAsia="仿宋_GB2312"/>
          <w:sz w:val="24"/>
        </w:rPr>
      </w:pPr>
    </w:p>
    <w:p w14:paraId="0DE8E352">
      <w:pPr>
        <w:rPr>
          <w:rFonts w:ascii="Times New Roman" w:hAnsi="Times New Roman" w:eastAsia="黑体"/>
        </w:rPr>
      </w:pPr>
      <w:r>
        <w:rPr>
          <w:rFonts w:ascii="Times New Roman" w:hAnsi="Times New Roman" w:eastAsia="黑体"/>
          <w:sz w:val="32"/>
          <w:szCs w:val="32"/>
        </w:rPr>
        <w:t>附件3</w:t>
      </w:r>
    </w:p>
    <w:tbl>
      <w:tblPr>
        <w:tblStyle w:val="2"/>
        <w:tblW w:w="9999" w:type="dxa"/>
        <w:jc w:val="center"/>
        <w:tblLayout w:type="fixed"/>
        <w:tblCellMar>
          <w:top w:w="0" w:type="dxa"/>
          <w:left w:w="108" w:type="dxa"/>
          <w:bottom w:w="0" w:type="dxa"/>
          <w:right w:w="108" w:type="dxa"/>
        </w:tblCellMar>
      </w:tblPr>
      <w:tblGrid>
        <w:gridCol w:w="1363"/>
        <w:gridCol w:w="1020"/>
        <w:gridCol w:w="1110"/>
        <w:gridCol w:w="1125"/>
        <w:gridCol w:w="1110"/>
        <w:gridCol w:w="255"/>
        <w:gridCol w:w="810"/>
        <w:gridCol w:w="210"/>
        <w:gridCol w:w="960"/>
        <w:gridCol w:w="765"/>
        <w:gridCol w:w="300"/>
        <w:gridCol w:w="971"/>
      </w:tblGrid>
      <w:tr w14:paraId="76CB4FB0">
        <w:tblPrEx>
          <w:tblCellMar>
            <w:top w:w="0" w:type="dxa"/>
            <w:left w:w="108" w:type="dxa"/>
            <w:bottom w:w="0" w:type="dxa"/>
            <w:right w:w="108" w:type="dxa"/>
          </w:tblCellMar>
        </w:tblPrEx>
        <w:trPr>
          <w:trHeight w:val="549" w:hRule="atLeast"/>
          <w:jc w:val="center"/>
        </w:trPr>
        <w:tc>
          <w:tcPr>
            <w:tcW w:w="9999" w:type="dxa"/>
            <w:gridSpan w:val="12"/>
            <w:tcBorders>
              <w:top w:val="nil"/>
              <w:left w:val="nil"/>
              <w:bottom w:val="nil"/>
              <w:right w:val="nil"/>
            </w:tcBorders>
            <w:shd w:val="clear" w:color="auto" w:fill="auto"/>
            <w:noWrap/>
            <w:vAlign w:val="center"/>
          </w:tcPr>
          <w:p w14:paraId="20519BDD">
            <w:pPr>
              <w:ind w:firstLine="2880" w:firstLineChars="800"/>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部门整体支出绩效自评表</w:t>
            </w:r>
          </w:p>
        </w:tc>
      </w:tr>
      <w:tr w14:paraId="3ABC5692">
        <w:tblPrEx>
          <w:tblCellMar>
            <w:top w:w="0" w:type="dxa"/>
            <w:left w:w="108" w:type="dxa"/>
            <w:bottom w:w="0" w:type="dxa"/>
            <w:right w:w="108" w:type="dxa"/>
          </w:tblCellMar>
        </w:tblPrEx>
        <w:trPr>
          <w:trHeight w:val="270" w:hRule="atLeast"/>
          <w:jc w:val="center"/>
        </w:trPr>
        <w:tc>
          <w:tcPr>
            <w:tcW w:w="9999" w:type="dxa"/>
            <w:gridSpan w:val="12"/>
            <w:tcBorders>
              <w:top w:val="nil"/>
              <w:left w:val="nil"/>
              <w:bottom w:val="single" w:color="auto" w:sz="4" w:space="0"/>
              <w:right w:val="nil"/>
            </w:tcBorders>
            <w:shd w:val="clear" w:color="auto" w:fill="auto"/>
            <w:noWrap/>
            <w:vAlign w:val="center"/>
          </w:tcPr>
          <w:p w14:paraId="1C2C5C9F">
            <w:pPr>
              <w:widowControl/>
              <w:rPr>
                <w:rFonts w:ascii="Times New Roman" w:hAnsi="Times New Roman"/>
                <w:color w:val="000000"/>
                <w:kern w:val="0"/>
                <w:sz w:val="22"/>
              </w:rPr>
            </w:pPr>
            <w:r>
              <w:rPr>
                <w:rFonts w:ascii="Times New Roman" w:hAnsi="Times New Roman"/>
                <w:color w:val="000000"/>
                <w:kern w:val="0"/>
                <w:sz w:val="22"/>
              </w:rPr>
              <w:t>填报单位：</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r>
              <w:rPr>
                <w:rFonts w:hint="eastAsia" w:ascii="Times New Roman" w:hAnsi="Times New Roman"/>
                <w:color w:val="000000"/>
                <w:kern w:val="0"/>
                <w:sz w:val="22"/>
              </w:rPr>
              <w:t xml:space="preserve">               （2022年度）</w:t>
            </w:r>
          </w:p>
        </w:tc>
      </w:tr>
      <w:tr w14:paraId="7936E8BC">
        <w:tblPrEx>
          <w:tblCellMar>
            <w:top w:w="0" w:type="dxa"/>
            <w:left w:w="108" w:type="dxa"/>
            <w:bottom w:w="0" w:type="dxa"/>
            <w:right w:w="108" w:type="dxa"/>
          </w:tblCellMar>
        </w:tblPrEx>
        <w:trPr>
          <w:trHeight w:val="480"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14:paraId="0E9F71D1">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部门名称</w:t>
            </w: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5AB6A5B2">
            <w:pPr>
              <w:widowControl/>
              <w:ind w:firstLine="420" w:firstLineChars="200"/>
              <w:jc w:val="both"/>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衡阳市公路建设养护中心石鼓分中心</w:t>
            </w:r>
            <w:r>
              <w:rPr>
                <w:rFonts w:ascii="Times New Roman" w:hAnsi="Times New Roman" w:eastAsia="仿宋_GB2312"/>
                <w:color w:val="000000"/>
                <w:kern w:val="0"/>
                <w:szCs w:val="21"/>
              </w:rPr>
              <w:t>　</w:t>
            </w:r>
          </w:p>
        </w:tc>
        <w:tc>
          <w:tcPr>
            <w:tcW w:w="1020" w:type="dxa"/>
            <w:gridSpan w:val="2"/>
            <w:tcBorders>
              <w:top w:val="single" w:color="auto" w:sz="4" w:space="0"/>
              <w:left w:val="nil"/>
              <w:bottom w:val="single" w:color="auto" w:sz="4" w:space="0"/>
              <w:right w:val="single" w:color="000000" w:sz="4" w:space="0"/>
            </w:tcBorders>
            <w:shd w:val="clear" w:color="auto" w:fill="auto"/>
            <w:noWrap/>
            <w:vAlign w:val="center"/>
          </w:tcPr>
          <w:p w14:paraId="253D6D4B">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执行数</w:t>
            </w:r>
          </w:p>
        </w:tc>
        <w:tc>
          <w:tcPr>
            <w:tcW w:w="960" w:type="dxa"/>
            <w:tcBorders>
              <w:top w:val="single" w:color="auto" w:sz="4" w:space="0"/>
              <w:left w:val="nil"/>
              <w:bottom w:val="single" w:color="auto" w:sz="4" w:space="0"/>
              <w:right w:val="single" w:color="000000" w:sz="4" w:space="0"/>
            </w:tcBorders>
            <w:shd w:val="clear" w:color="auto" w:fill="auto"/>
            <w:noWrap/>
          </w:tcPr>
          <w:p w14:paraId="1C429DB0">
            <w:pPr>
              <w:widowControl/>
              <w:spacing w:line="240" w:lineRule="exact"/>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资金执行率</w:t>
            </w:r>
          </w:p>
        </w:tc>
        <w:tc>
          <w:tcPr>
            <w:tcW w:w="1065" w:type="dxa"/>
            <w:gridSpan w:val="2"/>
            <w:tcBorders>
              <w:top w:val="single" w:color="auto" w:sz="4" w:space="0"/>
              <w:left w:val="nil"/>
              <w:bottom w:val="single" w:color="auto" w:sz="4" w:space="0"/>
              <w:right w:val="single" w:color="000000" w:sz="4" w:space="0"/>
            </w:tcBorders>
            <w:shd w:val="clear" w:color="auto" w:fill="auto"/>
            <w:noWrap/>
            <w:vAlign w:val="center"/>
          </w:tcPr>
          <w:p w14:paraId="79136BAE">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分值</w:t>
            </w:r>
          </w:p>
        </w:tc>
        <w:tc>
          <w:tcPr>
            <w:tcW w:w="971" w:type="dxa"/>
            <w:tcBorders>
              <w:top w:val="single" w:color="auto" w:sz="4" w:space="0"/>
              <w:left w:val="nil"/>
              <w:bottom w:val="single" w:color="auto" w:sz="4" w:space="0"/>
              <w:right w:val="single" w:color="000000" w:sz="4" w:space="0"/>
            </w:tcBorders>
            <w:shd w:val="clear" w:color="auto" w:fill="auto"/>
            <w:noWrap/>
            <w:vAlign w:val="center"/>
          </w:tcPr>
          <w:p w14:paraId="29EB89E0">
            <w:pPr>
              <w:widowControl/>
              <w:jc w:val="center"/>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得分</w:t>
            </w:r>
          </w:p>
        </w:tc>
      </w:tr>
      <w:tr w14:paraId="6122B0C9">
        <w:tblPrEx>
          <w:tblCellMar>
            <w:top w:w="0" w:type="dxa"/>
            <w:left w:w="108" w:type="dxa"/>
            <w:bottom w:w="0" w:type="dxa"/>
            <w:right w:w="108" w:type="dxa"/>
          </w:tblCellMar>
        </w:tblPrEx>
        <w:trPr>
          <w:trHeight w:val="395" w:hRule="atLeast"/>
          <w:jc w:val="center"/>
        </w:trPr>
        <w:tc>
          <w:tcPr>
            <w:tcW w:w="1363" w:type="dxa"/>
            <w:vMerge w:val="restart"/>
            <w:tcBorders>
              <w:top w:val="nil"/>
              <w:left w:val="single" w:color="auto" w:sz="4" w:space="0"/>
              <w:right w:val="single" w:color="auto" w:sz="4" w:space="0"/>
            </w:tcBorders>
            <w:shd w:val="clear" w:color="auto" w:fill="auto"/>
            <w:noWrap/>
            <w:vAlign w:val="center"/>
          </w:tcPr>
          <w:p w14:paraId="24B9760C">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年度预算</w:t>
            </w:r>
          </w:p>
          <w:p w14:paraId="3BA58C0F">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申请（万元）</w:t>
            </w: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1A91A956">
            <w:pPr>
              <w:widowControl/>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资金总额：</w:t>
            </w:r>
            <w:r>
              <w:rPr>
                <w:rFonts w:hint="eastAsia" w:ascii="Times New Roman" w:hAnsi="Times New Roman" w:eastAsia="仿宋_GB2312"/>
                <w:color w:val="000000"/>
                <w:kern w:val="0"/>
                <w:szCs w:val="21"/>
                <w:lang w:val="en-US" w:eastAsia="zh-CN"/>
              </w:rPr>
              <w:t>413.08</w:t>
            </w:r>
          </w:p>
        </w:tc>
        <w:tc>
          <w:tcPr>
            <w:tcW w:w="1020" w:type="dxa"/>
            <w:gridSpan w:val="2"/>
            <w:tcBorders>
              <w:top w:val="single" w:color="auto" w:sz="4" w:space="0"/>
              <w:left w:val="nil"/>
              <w:bottom w:val="single" w:color="auto" w:sz="4" w:space="0"/>
              <w:right w:val="single" w:color="000000" w:sz="4" w:space="0"/>
            </w:tcBorders>
            <w:shd w:val="clear" w:color="auto" w:fill="auto"/>
            <w:noWrap/>
            <w:vAlign w:val="center"/>
          </w:tcPr>
          <w:p w14:paraId="478336A0">
            <w:pPr>
              <w:widowControl/>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413.08</w:t>
            </w:r>
          </w:p>
        </w:tc>
        <w:tc>
          <w:tcPr>
            <w:tcW w:w="960" w:type="dxa"/>
            <w:tcBorders>
              <w:top w:val="single" w:color="auto" w:sz="4" w:space="0"/>
              <w:left w:val="nil"/>
              <w:bottom w:val="single" w:color="auto" w:sz="4" w:space="0"/>
              <w:right w:val="single" w:color="000000" w:sz="4" w:space="0"/>
            </w:tcBorders>
            <w:shd w:val="clear" w:color="auto" w:fill="auto"/>
            <w:noWrap/>
            <w:vAlign w:val="center"/>
          </w:tcPr>
          <w:p w14:paraId="066836DB">
            <w:pPr>
              <w:widowControl/>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065" w:type="dxa"/>
            <w:gridSpan w:val="2"/>
            <w:tcBorders>
              <w:top w:val="single" w:color="auto" w:sz="4" w:space="0"/>
              <w:left w:val="nil"/>
              <w:bottom w:val="single" w:color="auto" w:sz="4" w:space="0"/>
              <w:right w:val="single" w:color="000000" w:sz="4" w:space="0"/>
            </w:tcBorders>
            <w:shd w:val="clear" w:color="auto" w:fill="auto"/>
            <w:noWrap/>
            <w:vAlign w:val="center"/>
          </w:tcPr>
          <w:p w14:paraId="718EBCB4">
            <w:pPr>
              <w:widowControl/>
              <w:ind w:firstLine="420" w:firstLineChars="200"/>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10</w:t>
            </w:r>
          </w:p>
        </w:tc>
        <w:tc>
          <w:tcPr>
            <w:tcW w:w="971" w:type="dxa"/>
            <w:tcBorders>
              <w:top w:val="single" w:color="auto" w:sz="4" w:space="0"/>
              <w:left w:val="nil"/>
              <w:bottom w:val="single" w:color="auto" w:sz="4" w:space="0"/>
              <w:right w:val="single" w:color="000000" w:sz="4" w:space="0"/>
            </w:tcBorders>
            <w:shd w:val="clear" w:color="auto" w:fill="auto"/>
            <w:noWrap/>
            <w:vAlign w:val="center"/>
          </w:tcPr>
          <w:p w14:paraId="79C3D7BE">
            <w:pPr>
              <w:widowControl/>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w:t>
            </w:r>
          </w:p>
        </w:tc>
      </w:tr>
      <w:tr w14:paraId="4C67B83E">
        <w:tblPrEx>
          <w:tblCellMar>
            <w:top w:w="0" w:type="dxa"/>
            <w:left w:w="108" w:type="dxa"/>
            <w:bottom w:w="0" w:type="dxa"/>
            <w:right w:w="108" w:type="dxa"/>
          </w:tblCellMar>
        </w:tblPrEx>
        <w:trPr>
          <w:trHeight w:val="370" w:hRule="atLeast"/>
          <w:jc w:val="center"/>
        </w:trPr>
        <w:tc>
          <w:tcPr>
            <w:tcW w:w="1363" w:type="dxa"/>
            <w:vMerge w:val="continue"/>
            <w:tcBorders>
              <w:left w:val="single" w:color="auto" w:sz="4" w:space="0"/>
              <w:right w:val="single" w:color="auto" w:sz="4" w:space="0"/>
            </w:tcBorders>
            <w:shd w:val="clear" w:color="auto" w:fill="auto"/>
            <w:noWrap/>
            <w:vAlign w:val="center"/>
          </w:tcPr>
          <w:p w14:paraId="54432420">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5F423463">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按收入性质分：</w:t>
            </w:r>
            <w:r>
              <w:rPr>
                <w:rFonts w:hint="eastAsia" w:ascii="Times New Roman" w:hAnsi="Times New Roman" w:eastAsia="仿宋_GB2312"/>
                <w:color w:val="000000"/>
                <w:kern w:val="0"/>
                <w:szCs w:val="21"/>
              </w:rPr>
              <w:t xml:space="preserve">                         </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14:paraId="04EEBC40">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按支出性质分：</w:t>
            </w:r>
          </w:p>
        </w:tc>
      </w:tr>
      <w:tr w14:paraId="5897BADB">
        <w:tblPrEx>
          <w:tblCellMar>
            <w:top w:w="0" w:type="dxa"/>
            <w:left w:w="108" w:type="dxa"/>
            <w:bottom w:w="0" w:type="dxa"/>
            <w:right w:w="108" w:type="dxa"/>
          </w:tblCellMar>
        </w:tblPrEx>
        <w:trPr>
          <w:trHeight w:val="355" w:hRule="atLeast"/>
          <w:jc w:val="center"/>
        </w:trPr>
        <w:tc>
          <w:tcPr>
            <w:tcW w:w="1363" w:type="dxa"/>
            <w:vMerge w:val="continue"/>
            <w:tcBorders>
              <w:left w:val="single" w:color="auto" w:sz="4" w:space="0"/>
              <w:right w:val="single" w:color="auto" w:sz="4" w:space="0"/>
            </w:tcBorders>
            <w:shd w:val="clear" w:color="auto" w:fill="auto"/>
            <w:noWrap/>
            <w:vAlign w:val="center"/>
          </w:tcPr>
          <w:p w14:paraId="2017241A">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21D7E994">
            <w:pPr>
              <w:widowControl/>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其中： 一般公共预算收入：</w:t>
            </w:r>
            <w:r>
              <w:rPr>
                <w:rFonts w:hint="eastAsia" w:ascii="Times New Roman" w:hAnsi="Times New Roman" w:eastAsia="仿宋_GB2312"/>
                <w:color w:val="000000"/>
                <w:kern w:val="0"/>
                <w:szCs w:val="21"/>
                <w:lang w:val="en-US" w:eastAsia="zh-CN"/>
              </w:rPr>
              <w:t>396.18</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14:paraId="52AE77FA">
            <w:pPr>
              <w:widowControl/>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 xml:space="preserve"> 其中：基本支出：</w:t>
            </w:r>
            <w:r>
              <w:rPr>
                <w:rFonts w:hint="eastAsia" w:ascii="Times New Roman" w:hAnsi="Times New Roman" w:eastAsia="仿宋_GB2312"/>
                <w:color w:val="000000"/>
                <w:kern w:val="0"/>
                <w:szCs w:val="21"/>
                <w:lang w:val="en-US" w:eastAsia="zh-CN"/>
              </w:rPr>
              <w:t>413.08</w:t>
            </w:r>
          </w:p>
        </w:tc>
      </w:tr>
      <w:tr w14:paraId="484248FF">
        <w:tblPrEx>
          <w:tblCellMar>
            <w:top w:w="0" w:type="dxa"/>
            <w:left w:w="108" w:type="dxa"/>
            <w:bottom w:w="0" w:type="dxa"/>
            <w:right w:w="108" w:type="dxa"/>
          </w:tblCellMar>
        </w:tblPrEx>
        <w:trPr>
          <w:trHeight w:val="385" w:hRule="atLeast"/>
          <w:jc w:val="center"/>
        </w:trPr>
        <w:tc>
          <w:tcPr>
            <w:tcW w:w="1363" w:type="dxa"/>
            <w:vMerge w:val="continue"/>
            <w:tcBorders>
              <w:left w:val="single" w:color="auto" w:sz="4" w:space="0"/>
              <w:right w:val="single" w:color="auto" w:sz="4" w:space="0"/>
            </w:tcBorders>
            <w:shd w:val="clear" w:color="auto" w:fill="auto"/>
            <w:noWrap/>
            <w:vAlign w:val="center"/>
          </w:tcPr>
          <w:p w14:paraId="1EAA1411">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00A1E28F">
            <w:pPr>
              <w:widowControl/>
              <w:ind w:firstLine="840" w:firstLineChars="400"/>
              <w:rPr>
                <w:rFonts w:ascii="Times New Roman" w:hAnsi="Times New Roman" w:eastAsia="仿宋_GB2312"/>
                <w:color w:val="000000"/>
                <w:kern w:val="0"/>
                <w:szCs w:val="21"/>
              </w:rPr>
            </w:pPr>
            <w:r>
              <w:rPr>
                <w:rFonts w:ascii="Times New Roman" w:hAnsi="Times New Roman" w:eastAsia="仿宋_GB2312"/>
                <w:color w:val="000000"/>
                <w:kern w:val="0"/>
                <w:szCs w:val="21"/>
              </w:rPr>
              <w:t>政府性基金拨款：</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14:paraId="082B357A">
            <w:pPr>
              <w:widowControl/>
              <w:ind w:firstLine="840" w:firstLineChars="400"/>
              <w:rPr>
                <w:rFonts w:ascii="Times New Roman" w:hAnsi="Times New Roman" w:eastAsia="仿宋_GB2312"/>
                <w:color w:val="000000"/>
                <w:kern w:val="0"/>
                <w:szCs w:val="21"/>
              </w:rPr>
            </w:pPr>
            <w:r>
              <w:rPr>
                <w:rFonts w:hint="eastAsia" w:ascii="Times New Roman" w:hAnsi="Times New Roman" w:eastAsia="仿宋_GB2312"/>
                <w:color w:val="000000"/>
                <w:kern w:val="0"/>
                <w:szCs w:val="21"/>
              </w:rPr>
              <w:t>项目支出：</w:t>
            </w:r>
          </w:p>
        </w:tc>
      </w:tr>
      <w:tr w14:paraId="558CC364">
        <w:tblPrEx>
          <w:tblCellMar>
            <w:top w:w="0" w:type="dxa"/>
            <w:left w:w="108" w:type="dxa"/>
            <w:bottom w:w="0" w:type="dxa"/>
            <w:right w:w="108" w:type="dxa"/>
          </w:tblCellMar>
        </w:tblPrEx>
        <w:trPr>
          <w:trHeight w:val="385" w:hRule="atLeast"/>
          <w:jc w:val="center"/>
        </w:trPr>
        <w:tc>
          <w:tcPr>
            <w:tcW w:w="1363" w:type="dxa"/>
            <w:vMerge w:val="continue"/>
            <w:tcBorders>
              <w:left w:val="single" w:color="auto" w:sz="4" w:space="0"/>
              <w:right w:val="single" w:color="auto" w:sz="4" w:space="0"/>
            </w:tcBorders>
            <w:shd w:val="clear" w:color="auto" w:fill="auto"/>
            <w:noWrap/>
            <w:vAlign w:val="center"/>
          </w:tcPr>
          <w:p w14:paraId="4CD2F17A">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190F423A">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纳入专户管理的非税收入拨款：</w:t>
            </w:r>
            <w:r>
              <w:rPr>
                <w:rFonts w:hint="eastAsia" w:ascii="Times New Roman" w:hAnsi="Times New Roman" w:eastAsia="仿宋_GB2312"/>
                <w:color w:val="000000"/>
                <w:kern w:val="0"/>
                <w:szCs w:val="21"/>
                <w:lang w:val="en-US" w:eastAsia="zh-CN"/>
              </w:rPr>
              <w:t>16.9</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14:paraId="3AF7B9D2">
            <w:pPr>
              <w:widowControl/>
              <w:jc w:val="left"/>
              <w:rPr>
                <w:rFonts w:ascii="Times New Roman" w:hAnsi="Times New Roman" w:eastAsia="仿宋_GB2312"/>
                <w:color w:val="000000"/>
                <w:kern w:val="0"/>
                <w:szCs w:val="21"/>
              </w:rPr>
            </w:pPr>
          </w:p>
        </w:tc>
      </w:tr>
      <w:tr w14:paraId="70F50460">
        <w:tblPrEx>
          <w:tblCellMar>
            <w:top w:w="0" w:type="dxa"/>
            <w:left w:w="108" w:type="dxa"/>
            <w:bottom w:w="0" w:type="dxa"/>
            <w:right w:w="108" w:type="dxa"/>
          </w:tblCellMar>
        </w:tblPrEx>
        <w:trPr>
          <w:trHeight w:val="375" w:hRule="atLeast"/>
          <w:jc w:val="center"/>
        </w:trPr>
        <w:tc>
          <w:tcPr>
            <w:tcW w:w="1363" w:type="dxa"/>
            <w:vMerge w:val="continue"/>
            <w:tcBorders>
              <w:left w:val="single" w:color="auto" w:sz="4" w:space="0"/>
              <w:bottom w:val="single" w:color="auto" w:sz="4" w:space="0"/>
              <w:right w:val="single" w:color="auto" w:sz="4" w:space="0"/>
            </w:tcBorders>
            <w:shd w:val="clear" w:color="auto" w:fill="auto"/>
            <w:noWrap/>
            <w:vAlign w:val="center"/>
          </w:tcPr>
          <w:p w14:paraId="265F93E7">
            <w:pPr>
              <w:widowControl/>
              <w:spacing w:line="260" w:lineRule="exact"/>
              <w:jc w:val="center"/>
              <w:rPr>
                <w:rFonts w:ascii="Times New Roman" w:hAnsi="Times New Roman" w:eastAsia="仿宋_GB2312"/>
                <w:color w:val="000000"/>
                <w:kern w:val="0"/>
                <w:szCs w:val="21"/>
              </w:rPr>
            </w:pPr>
          </w:p>
        </w:tc>
        <w:tc>
          <w:tcPr>
            <w:tcW w:w="4620" w:type="dxa"/>
            <w:gridSpan w:val="5"/>
            <w:tcBorders>
              <w:top w:val="single" w:color="auto" w:sz="4" w:space="0"/>
              <w:left w:val="nil"/>
              <w:bottom w:val="single" w:color="auto" w:sz="4" w:space="0"/>
              <w:right w:val="single" w:color="000000" w:sz="4" w:space="0"/>
            </w:tcBorders>
            <w:shd w:val="clear" w:color="auto" w:fill="auto"/>
            <w:noWrap/>
            <w:vAlign w:val="center"/>
          </w:tcPr>
          <w:p w14:paraId="01EACE3C">
            <w:pPr>
              <w:widowControl/>
              <w:ind w:firstLine="1680" w:firstLineChars="8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4016" w:type="dxa"/>
            <w:gridSpan w:val="6"/>
            <w:tcBorders>
              <w:top w:val="single" w:color="auto" w:sz="4" w:space="0"/>
              <w:left w:val="nil"/>
              <w:bottom w:val="single" w:color="auto" w:sz="4" w:space="0"/>
              <w:right w:val="single" w:color="000000" w:sz="4" w:space="0"/>
            </w:tcBorders>
            <w:shd w:val="clear" w:color="auto" w:fill="auto"/>
            <w:noWrap/>
            <w:vAlign w:val="center"/>
          </w:tcPr>
          <w:p w14:paraId="034EC6E0">
            <w:pPr>
              <w:widowControl/>
              <w:ind w:firstLine="1680" w:firstLineChars="800"/>
              <w:jc w:val="left"/>
              <w:rPr>
                <w:rFonts w:ascii="Times New Roman" w:hAnsi="Times New Roman" w:eastAsia="仿宋_GB2312"/>
                <w:color w:val="000000"/>
                <w:kern w:val="0"/>
                <w:szCs w:val="21"/>
              </w:rPr>
            </w:pPr>
          </w:p>
        </w:tc>
      </w:tr>
      <w:tr w14:paraId="2DE076D8">
        <w:tblPrEx>
          <w:tblCellMar>
            <w:top w:w="0" w:type="dxa"/>
            <w:left w:w="108" w:type="dxa"/>
            <w:bottom w:w="0" w:type="dxa"/>
            <w:right w:w="108" w:type="dxa"/>
          </w:tblCellMar>
        </w:tblPrEx>
        <w:trPr>
          <w:trHeight w:val="609"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14:paraId="2B24C45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部门职能职责概述</w:t>
            </w:r>
          </w:p>
        </w:tc>
        <w:tc>
          <w:tcPr>
            <w:tcW w:w="8636" w:type="dxa"/>
            <w:gridSpan w:val="11"/>
            <w:tcBorders>
              <w:top w:val="single" w:color="auto" w:sz="4" w:space="0"/>
              <w:left w:val="nil"/>
              <w:bottom w:val="single" w:color="auto" w:sz="4" w:space="0"/>
              <w:right w:val="single" w:color="auto" w:sz="4" w:space="0"/>
            </w:tcBorders>
            <w:shd w:val="clear" w:color="auto" w:fill="auto"/>
            <w:noWrap/>
            <w:vAlign w:val="center"/>
          </w:tcPr>
          <w:p w14:paraId="3E2A6605">
            <w:pPr>
              <w:widowControl/>
              <w:numPr>
                <w:ilvl w:val="0"/>
                <w:numId w:val="3"/>
              </w:numPr>
              <w:rPr>
                <w:rFonts w:hint="eastAsia" w:ascii="仿宋" w:hAnsi="仿宋" w:eastAsia="仿宋" w:cs="仿宋"/>
                <w:kern w:val="0"/>
                <w:sz w:val="21"/>
                <w:szCs w:val="21"/>
              </w:rPr>
            </w:pPr>
            <w:r>
              <w:rPr>
                <w:rFonts w:hint="eastAsia" w:ascii="仿宋" w:hAnsi="仿宋" w:eastAsia="仿宋" w:cs="仿宋"/>
                <w:kern w:val="0"/>
                <w:sz w:val="21"/>
                <w:szCs w:val="21"/>
              </w:rPr>
              <w:t>按照</w:t>
            </w:r>
            <w:r>
              <w:rPr>
                <w:rFonts w:hint="eastAsia" w:ascii="仿宋" w:hAnsi="仿宋" w:eastAsia="仿宋" w:cs="仿宋"/>
                <w:kern w:val="0"/>
                <w:sz w:val="21"/>
                <w:szCs w:val="21"/>
                <w:lang w:eastAsia="zh-CN"/>
              </w:rPr>
              <w:t>《中华人民共和国公路法》</w:t>
            </w:r>
            <w:r>
              <w:rPr>
                <w:rFonts w:hint="eastAsia" w:ascii="仿宋" w:hAnsi="仿宋" w:eastAsia="仿宋" w:cs="仿宋"/>
                <w:kern w:val="0"/>
                <w:sz w:val="21"/>
                <w:szCs w:val="21"/>
              </w:rPr>
              <w:t>相关条文，依法行使公路建设养护管理职能。</w:t>
            </w:r>
          </w:p>
          <w:p w14:paraId="51563C2B">
            <w:pPr>
              <w:widowControl/>
              <w:numPr>
                <w:ilvl w:val="0"/>
                <w:numId w:val="3"/>
              </w:numPr>
              <w:jc w:val="left"/>
              <w:rPr>
                <w:rFonts w:hint="eastAsia" w:ascii="仿宋" w:hAnsi="仿宋" w:eastAsia="仿宋" w:cs="仿宋"/>
                <w:kern w:val="0"/>
                <w:sz w:val="21"/>
                <w:szCs w:val="21"/>
              </w:rPr>
            </w:pPr>
            <w:r>
              <w:rPr>
                <w:rFonts w:hint="eastAsia" w:ascii="仿宋" w:hAnsi="仿宋" w:eastAsia="仿宋" w:cs="仿宋"/>
                <w:kern w:val="0"/>
                <w:sz w:val="21"/>
                <w:szCs w:val="21"/>
              </w:rPr>
              <w:t>按照衡阳市公路建养中心下达的业务计划和授权范围，完成石鼓区内干线公路和农村公路养护工作。</w:t>
            </w:r>
          </w:p>
          <w:p w14:paraId="4515C705">
            <w:pPr>
              <w:widowControl/>
              <w:jc w:val="both"/>
              <w:rPr>
                <w:rFonts w:hint="eastAsia" w:ascii="仿宋" w:hAnsi="仿宋" w:eastAsia="仿宋" w:cs="仿宋"/>
                <w:color w:val="000000"/>
                <w:kern w:val="0"/>
                <w:sz w:val="21"/>
                <w:szCs w:val="21"/>
                <w:lang w:val="en-US" w:eastAsia="zh-CN" w:bidi="ar-SA"/>
              </w:rPr>
            </w:pPr>
            <w:r>
              <w:rPr>
                <w:rFonts w:hint="eastAsia" w:ascii="仿宋" w:hAnsi="仿宋" w:eastAsia="仿宋" w:cs="仿宋"/>
                <w:kern w:val="0"/>
                <w:sz w:val="21"/>
                <w:szCs w:val="21"/>
                <w:lang w:eastAsia="zh-CN"/>
              </w:rPr>
              <w:t>三、</w:t>
            </w:r>
            <w:r>
              <w:rPr>
                <w:rFonts w:hint="eastAsia" w:ascii="仿宋" w:hAnsi="仿宋" w:eastAsia="仿宋" w:cs="仿宋"/>
                <w:kern w:val="0"/>
                <w:sz w:val="21"/>
                <w:szCs w:val="21"/>
              </w:rPr>
              <w:t>全力做好安全工作并及时完成上级交给的各种临时性突击任务。</w:t>
            </w:r>
          </w:p>
        </w:tc>
      </w:tr>
      <w:tr w14:paraId="2EEC9AD4">
        <w:tblPrEx>
          <w:tblCellMar>
            <w:top w:w="0" w:type="dxa"/>
            <w:left w:w="108" w:type="dxa"/>
            <w:bottom w:w="0" w:type="dxa"/>
            <w:right w:w="108" w:type="dxa"/>
          </w:tblCellMar>
        </w:tblPrEx>
        <w:trPr>
          <w:trHeight w:val="609" w:hRule="atLeast"/>
          <w:jc w:val="center"/>
        </w:trPr>
        <w:tc>
          <w:tcPr>
            <w:tcW w:w="1363" w:type="dxa"/>
            <w:tcBorders>
              <w:top w:val="nil"/>
              <w:left w:val="single" w:color="auto" w:sz="4" w:space="0"/>
              <w:bottom w:val="single" w:color="auto" w:sz="4" w:space="0"/>
              <w:right w:val="single" w:color="auto" w:sz="4" w:space="0"/>
            </w:tcBorders>
            <w:shd w:val="clear" w:color="auto" w:fill="auto"/>
            <w:noWrap/>
            <w:vAlign w:val="center"/>
          </w:tcPr>
          <w:p w14:paraId="3DE4E58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整体绩效</w:t>
            </w:r>
          </w:p>
          <w:p w14:paraId="1BF3110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目标</w:t>
            </w:r>
          </w:p>
        </w:tc>
        <w:tc>
          <w:tcPr>
            <w:tcW w:w="8636" w:type="dxa"/>
            <w:gridSpan w:val="11"/>
            <w:tcBorders>
              <w:top w:val="single" w:color="auto" w:sz="4" w:space="0"/>
              <w:left w:val="nil"/>
              <w:bottom w:val="single" w:color="auto" w:sz="4" w:space="0"/>
              <w:right w:val="single" w:color="auto" w:sz="4" w:space="0"/>
            </w:tcBorders>
            <w:shd w:val="clear" w:color="auto" w:fill="auto"/>
            <w:noWrap/>
            <w:vAlign w:val="center"/>
          </w:tcPr>
          <w:p w14:paraId="0944E405">
            <w:pPr>
              <w:widowControl/>
              <w:jc w:val="left"/>
              <w:rPr>
                <w:rFonts w:hint="eastAsia" w:ascii="仿宋" w:hAnsi="仿宋" w:eastAsia="仿宋" w:cs="仿宋"/>
                <w:color w:val="auto"/>
                <w:kern w:val="0"/>
                <w:sz w:val="21"/>
                <w:szCs w:val="21"/>
              </w:rPr>
            </w:pPr>
            <w:r>
              <w:rPr>
                <w:rFonts w:hint="eastAsia" w:ascii="仿宋" w:hAnsi="仿宋" w:eastAsia="仿宋" w:cs="仿宋"/>
                <w:color w:val="auto"/>
                <w:kern w:val="0"/>
                <w:sz w:val="21"/>
                <w:szCs w:val="21"/>
              </w:rPr>
              <w:t>目标1：年末全区干线公路优良率达90%以上，农村公路优良率达</w:t>
            </w:r>
            <w:r>
              <w:rPr>
                <w:rFonts w:hint="eastAsia" w:ascii="仿宋" w:hAnsi="仿宋" w:eastAsia="仿宋" w:cs="仿宋"/>
                <w:color w:val="auto"/>
                <w:kern w:val="0"/>
                <w:sz w:val="21"/>
                <w:szCs w:val="21"/>
                <w:lang w:val="en-US" w:eastAsia="zh-CN"/>
              </w:rPr>
              <w:t>70</w:t>
            </w:r>
            <w:r>
              <w:rPr>
                <w:rFonts w:hint="eastAsia" w:ascii="仿宋" w:hAnsi="仿宋" w:eastAsia="仿宋" w:cs="仿宋"/>
                <w:color w:val="auto"/>
                <w:kern w:val="0"/>
                <w:sz w:val="21"/>
                <w:szCs w:val="21"/>
              </w:rPr>
              <w:t>%以上。</w:t>
            </w:r>
            <w:r>
              <w:rPr>
                <w:rFonts w:hint="eastAsia" w:ascii="仿宋" w:hAnsi="仿宋" w:eastAsia="仿宋" w:cs="仿宋"/>
                <w:color w:val="auto"/>
                <w:kern w:val="0"/>
                <w:sz w:val="21"/>
                <w:szCs w:val="21"/>
              </w:rPr>
              <w:br w:type="textWrapping"/>
            </w:r>
            <w:r>
              <w:rPr>
                <w:rFonts w:hint="eastAsia" w:ascii="仿宋" w:hAnsi="仿宋" w:eastAsia="仿宋" w:cs="仿宋"/>
                <w:color w:val="auto"/>
                <w:kern w:val="0"/>
                <w:sz w:val="21"/>
                <w:szCs w:val="21"/>
              </w:rPr>
              <w:t>目标2：全面完成年度大中修及预防性养护任务，工程质量合格率达100%。</w:t>
            </w:r>
          </w:p>
          <w:p w14:paraId="581D1C93">
            <w:pPr>
              <w:widowControl/>
              <w:jc w:val="left"/>
              <w:rPr>
                <w:rFonts w:hint="eastAsia" w:ascii="仿宋" w:hAnsi="仿宋" w:eastAsia="仿宋" w:cs="仿宋"/>
                <w:color w:val="000000"/>
                <w:kern w:val="0"/>
                <w:sz w:val="21"/>
                <w:szCs w:val="21"/>
              </w:rPr>
            </w:pPr>
            <w:r>
              <w:rPr>
                <w:rFonts w:hint="eastAsia" w:ascii="仿宋" w:hAnsi="仿宋" w:eastAsia="仿宋" w:cs="仿宋"/>
                <w:color w:val="auto"/>
                <w:kern w:val="0"/>
                <w:sz w:val="21"/>
                <w:szCs w:val="21"/>
              </w:rPr>
              <w:t>目标3：年内创建一条农村公路养护示范路。</w:t>
            </w:r>
          </w:p>
        </w:tc>
      </w:tr>
      <w:tr w14:paraId="7BB73219">
        <w:tblPrEx>
          <w:tblCellMar>
            <w:top w:w="0" w:type="dxa"/>
            <w:left w:w="108" w:type="dxa"/>
            <w:bottom w:w="0" w:type="dxa"/>
            <w:right w:w="108" w:type="dxa"/>
          </w:tblCellMar>
        </w:tblPrEx>
        <w:trPr>
          <w:trHeight w:val="763" w:hRule="atLeast"/>
          <w:jc w:val="center"/>
        </w:trPr>
        <w:tc>
          <w:tcPr>
            <w:tcW w:w="1363" w:type="dxa"/>
            <w:vMerge w:val="restart"/>
            <w:tcBorders>
              <w:top w:val="single" w:color="auto" w:sz="4" w:space="0"/>
              <w:left w:val="single" w:color="auto" w:sz="4" w:space="0"/>
              <w:right w:val="single" w:color="auto" w:sz="4" w:space="0"/>
            </w:tcBorders>
            <w:shd w:val="clear" w:color="auto" w:fill="auto"/>
            <w:noWrap/>
            <w:vAlign w:val="center"/>
          </w:tcPr>
          <w:p w14:paraId="4760558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部门整体支出年度绩效指标</w:t>
            </w:r>
          </w:p>
        </w:tc>
        <w:tc>
          <w:tcPr>
            <w:tcW w:w="1020" w:type="dxa"/>
            <w:tcBorders>
              <w:top w:val="single" w:color="auto" w:sz="4" w:space="0"/>
              <w:left w:val="nil"/>
              <w:bottom w:val="single" w:color="auto" w:sz="4" w:space="0"/>
              <w:right w:val="single" w:color="auto" w:sz="4" w:space="0"/>
            </w:tcBorders>
            <w:shd w:val="clear" w:color="auto" w:fill="auto"/>
            <w:noWrap/>
            <w:vAlign w:val="center"/>
          </w:tcPr>
          <w:p w14:paraId="544766C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7EF102D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71AB271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5EECECF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7EA240D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6B68BDC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0EDBAA6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6290FE1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7F3287C4">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4D7FCE2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44916D7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1957ACC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54770AD4">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4F138589">
            <w:pPr>
              <w:jc w:val="center"/>
              <w:rPr>
                <w:rFonts w:ascii="Times New Roman" w:hAnsi="Times New Roman" w:eastAsia="仿宋_GB2312"/>
                <w:color w:val="000000"/>
                <w:kern w:val="0"/>
                <w:szCs w:val="21"/>
              </w:rPr>
            </w:pPr>
          </w:p>
        </w:tc>
        <w:tc>
          <w:tcPr>
            <w:tcW w:w="1020" w:type="dxa"/>
            <w:vMerge w:val="restart"/>
            <w:tcBorders>
              <w:top w:val="single" w:color="auto" w:sz="4" w:space="0"/>
              <w:left w:val="nil"/>
              <w:bottom w:val="single" w:color="auto" w:sz="4" w:space="0"/>
              <w:right w:val="single" w:color="auto" w:sz="4" w:space="0"/>
            </w:tcBorders>
            <w:shd w:val="clear" w:color="auto" w:fill="auto"/>
            <w:noWrap/>
            <w:vAlign w:val="center"/>
          </w:tcPr>
          <w:p w14:paraId="010728A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227B15F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1145E39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50</w:t>
            </w:r>
            <w:r>
              <w:rPr>
                <w:rFonts w:ascii="Times New Roman" w:hAnsi="Times New Roman" w:eastAsia="仿宋_GB2312"/>
                <w:color w:val="000000"/>
                <w:kern w:val="0"/>
                <w:szCs w:val="21"/>
              </w:rPr>
              <w:t>分)</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2C2695F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1F06526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完成投资、 国 省 道大中修指标</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1170088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覆 盖 率 达 到 </w:t>
            </w:r>
          </w:p>
          <w:p w14:paraId="61898D4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100%</w:t>
            </w:r>
          </w:p>
          <w:p w14:paraId="46421E31">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178AB654">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100%</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29E91711">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3158397C">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1F87B3D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47DA642">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6650C226">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14:paraId="63A61A8F">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1EEC064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169E063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国省道路面使 用性能指数、工 程监督抽检覆盖率</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7643B85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p w14:paraId="28167FF5">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746FCB72">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0688361A">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0438BEDD">
            <w:pPr>
              <w:spacing w:line="280" w:lineRule="exact"/>
              <w:rPr>
                <w:rFonts w:hint="default" w:ascii="Times New Roman" w:hAnsi="Times New Roman" w:eastAsia="仿宋_GB2312" w:cs="Times New Roman"/>
                <w:color w:val="000000"/>
                <w:kern w:val="2"/>
                <w:sz w:val="21"/>
                <w:szCs w:val="21"/>
                <w:lang w:val="en-US" w:eastAsia="zh-CN" w:bidi="ar-SA"/>
              </w:rPr>
            </w:pP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521698F4">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6626F116">
            <w:pPr>
              <w:spacing w:line="280" w:lineRule="exact"/>
              <w:rPr>
                <w:rFonts w:hint="default" w:ascii="Times New Roman" w:hAnsi="Times New Roman" w:eastAsia="仿宋_GB2312" w:cs="Times New Roman"/>
                <w:color w:val="000000"/>
                <w:kern w:val="2"/>
                <w:sz w:val="21"/>
                <w:szCs w:val="21"/>
                <w:lang w:val="en-US" w:eastAsia="zh-CN" w:bidi="ar-SA"/>
              </w:rPr>
            </w:pP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476B3C6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639CC72">
        <w:tblPrEx>
          <w:tblCellMar>
            <w:top w:w="0" w:type="dxa"/>
            <w:left w:w="108" w:type="dxa"/>
            <w:bottom w:w="0" w:type="dxa"/>
            <w:right w:w="108" w:type="dxa"/>
          </w:tblCellMar>
        </w:tblPrEx>
        <w:trPr>
          <w:trHeight w:val="905" w:hRule="atLeast"/>
          <w:jc w:val="center"/>
        </w:trPr>
        <w:tc>
          <w:tcPr>
            <w:tcW w:w="1363" w:type="dxa"/>
            <w:vMerge w:val="continue"/>
            <w:tcBorders>
              <w:left w:val="single" w:color="auto" w:sz="4" w:space="0"/>
              <w:right w:val="single" w:color="auto" w:sz="4" w:space="0"/>
            </w:tcBorders>
            <w:shd w:val="clear" w:color="auto" w:fill="auto"/>
            <w:noWrap/>
            <w:vAlign w:val="center"/>
          </w:tcPr>
          <w:p w14:paraId="7BE99F6C">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14:paraId="1C2ADA82">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0F936DC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7FBED82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政府下达重点工按期完成</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56681CEC">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4D74631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168EC83C">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55E65C38">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6A07FFF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760570C">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178F4C03">
            <w:pPr>
              <w:jc w:val="center"/>
              <w:rPr>
                <w:rFonts w:ascii="Times New Roman" w:hAnsi="Times New Roman" w:eastAsia="仿宋_GB2312"/>
                <w:color w:val="000000"/>
                <w:kern w:val="0"/>
                <w:szCs w:val="21"/>
              </w:rPr>
            </w:pPr>
          </w:p>
        </w:tc>
        <w:tc>
          <w:tcPr>
            <w:tcW w:w="1020" w:type="dxa"/>
            <w:vMerge w:val="continue"/>
            <w:tcBorders>
              <w:top w:val="single" w:color="auto" w:sz="4" w:space="0"/>
              <w:left w:val="nil"/>
              <w:bottom w:val="single" w:color="auto" w:sz="4" w:space="0"/>
              <w:right w:val="single" w:color="auto" w:sz="4" w:space="0"/>
            </w:tcBorders>
            <w:shd w:val="clear" w:color="auto" w:fill="auto"/>
            <w:noWrap/>
            <w:vAlign w:val="center"/>
          </w:tcPr>
          <w:p w14:paraId="1986797E">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1E385B3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11DC372B">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国省道大中修补助标准、农村公路改善提升工程，补助标准，不超 过任务下达的预期成本</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79824B35">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支出控制在预算内</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6DEDEDDE">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所有支出控制在预算内</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300BA2F7">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7458A09E">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64B087C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F6ADACC">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2961AB2C">
            <w:pPr>
              <w:jc w:val="center"/>
              <w:rPr>
                <w:rFonts w:ascii="Times New Roman" w:hAnsi="Times New Roman" w:eastAsia="仿宋_GB2312"/>
                <w:color w:val="000000"/>
                <w:kern w:val="0"/>
                <w:szCs w:val="21"/>
              </w:rPr>
            </w:pPr>
          </w:p>
        </w:tc>
        <w:tc>
          <w:tcPr>
            <w:tcW w:w="1020" w:type="dxa"/>
            <w:vMerge w:val="restart"/>
            <w:tcBorders>
              <w:top w:val="single" w:color="auto" w:sz="4" w:space="0"/>
              <w:left w:val="nil"/>
              <w:right w:val="single" w:color="auto" w:sz="4" w:space="0"/>
            </w:tcBorders>
            <w:shd w:val="clear" w:color="auto" w:fill="auto"/>
            <w:noWrap/>
            <w:vAlign w:val="center"/>
          </w:tcPr>
          <w:p w14:paraId="4D60306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B0D2F4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12CD6A6">
            <w:pPr>
              <w:widowControl/>
              <w:rPr>
                <w:rFonts w:ascii="Times New Roman" w:hAnsi="Times New Roman" w:eastAsia="仿宋_GB2312"/>
                <w:color w:val="000000"/>
                <w:kern w:val="0"/>
                <w:szCs w:val="21"/>
              </w:rPr>
            </w:pPr>
            <w:r>
              <w:rPr>
                <w:rFonts w:ascii="Times New Roman" w:hAnsi="Times New Roman" w:eastAsia="仿宋_GB2312"/>
                <w:color w:val="000000"/>
                <w:kern w:val="0"/>
                <w:szCs w:val="21"/>
              </w:rPr>
              <w:t>（</w:t>
            </w:r>
            <w:r>
              <w:rPr>
                <w:rFonts w:hint="eastAsia" w:ascii="Times New Roman" w:hAnsi="Times New Roman" w:eastAsia="仿宋_GB2312"/>
                <w:color w:val="000000"/>
                <w:kern w:val="0"/>
                <w:szCs w:val="21"/>
              </w:rPr>
              <w:t>40</w:t>
            </w:r>
            <w:r>
              <w:rPr>
                <w:rFonts w:ascii="Times New Roman" w:hAnsi="Times New Roman" w:eastAsia="仿宋_GB2312"/>
                <w:color w:val="000000"/>
                <w:kern w:val="0"/>
                <w:szCs w:val="21"/>
              </w:rPr>
              <w:t>分）</w:t>
            </w:r>
          </w:p>
          <w:p w14:paraId="1D4C7847">
            <w:pPr>
              <w:jc w:val="left"/>
              <w:rPr>
                <w:rFonts w:ascii="Times New Roman" w:hAnsi="Times New Roman" w:eastAsia="仿宋_GB2312"/>
                <w:color w:val="000000"/>
                <w:kern w:val="0"/>
                <w:szCs w:val="21"/>
              </w:rPr>
            </w:pPr>
          </w:p>
          <w:p w14:paraId="19A779AC">
            <w:pPr>
              <w:widowControl/>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0C258CAD">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6AA2B89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6C37C04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各项交通建设项目在工程建设、后期养护中为道路沿线及运输站场附近的群众提供的直接收入</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146D2ECD">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持续提升</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7F00D827">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1150607A">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26055B0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7CBA0EE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E50ADD0">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10437E23">
            <w:pPr>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14:paraId="214B4D82">
            <w:pPr>
              <w:jc w:val="left"/>
              <w:rPr>
                <w:rFonts w:ascii="Times New Roman" w:hAnsi="Times New Roman" w:eastAsia="仿宋_GB2312"/>
                <w:color w:val="000000"/>
                <w:kern w:val="0"/>
                <w:szCs w:val="21"/>
              </w:rPr>
            </w:pP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547A2AC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1D7C4AF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nil"/>
              <w:bottom w:val="single" w:color="auto" w:sz="4" w:space="0"/>
              <w:right w:val="single" w:color="auto" w:sz="4" w:space="0"/>
            </w:tcBorders>
            <w:shd w:val="clear" w:color="auto" w:fill="auto"/>
            <w:noWrap/>
            <w:vAlign w:val="center"/>
          </w:tcPr>
          <w:p w14:paraId="652ABAC5">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构建外畅内联、结构合理、安全高效公路网</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1755E6B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065" w:type="dxa"/>
            <w:gridSpan w:val="2"/>
            <w:tcBorders>
              <w:top w:val="single" w:color="auto" w:sz="4" w:space="0"/>
              <w:left w:val="nil"/>
              <w:bottom w:val="single" w:color="auto" w:sz="4" w:space="0"/>
              <w:right w:val="single" w:color="auto" w:sz="4" w:space="0"/>
            </w:tcBorders>
            <w:shd w:val="clear" w:color="auto" w:fill="auto"/>
            <w:noWrap/>
            <w:vAlign w:val="center"/>
          </w:tcPr>
          <w:p w14:paraId="4026CFC7">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1170" w:type="dxa"/>
            <w:gridSpan w:val="2"/>
            <w:tcBorders>
              <w:top w:val="single" w:color="auto" w:sz="4" w:space="0"/>
              <w:left w:val="nil"/>
              <w:bottom w:val="single" w:color="auto" w:sz="4" w:space="0"/>
              <w:right w:val="single" w:color="auto" w:sz="4" w:space="0"/>
            </w:tcBorders>
            <w:shd w:val="clear" w:color="auto" w:fill="auto"/>
            <w:noWrap/>
            <w:vAlign w:val="center"/>
          </w:tcPr>
          <w:p w14:paraId="35BD4E5B">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565808B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5DB5968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EFDB1BD">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5F5A6712">
            <w:pPr>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14:paraId="7D01303E">
            <w:pPr>
              <w:jc w:val="left"/>
              <w:rPr>
                <w:rFonts w:ascii="Times New Roman" w:hAnsi="Times New Roman" w:eastAsia="仿宋_GB2312"/>
                <w:color w:val="000000"/>
                <w:kern w:val="0"/>
                <w:szCs w:val="21"/>
              </w:rPr>
            </w:pP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2AC33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353879B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BBF6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绿色交通</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B55ED1">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0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CF3753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18562C7">
            <w:pPr>
              <w:spacing w:line="280" w:lineRule="exact"/>
              <w:ind w:firstLine="210" w:firstLineChars="100"/>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765" w:type="dxa"/>
            <w:tcBorders>
              <w:top w:val="single" w:color="auto" w:sz="4" w:space="0"/>
              <w:left w:val="nil"/>
              <w:bottom w:val="single" w:color="auto" w:sz="4" w:space="0"/>
              <w:right w:val="single" w:color="auto" w:sz="4" w:space="0"/>
            </w:tcBorders>
            <w:shd w:val="clear" w:color="auto" w:fill="auto"/>
            <w:noWrap/>
            <w:vAlign w:val="center"/>
          </w:tcPr>
          <w:p w14:paraId="4A5AECED">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1271" w:type="dxa"/>
            <w:gridSpan w:val="2"/>
            <w:tcBorders>
              <w:top w:val="single" w:color="auto" w:sz="4" w:space="0"/>
              <w:left w:val="nil"/>
              <w:bottom w:val="single" w:color="auto" w:sz="4" w:space="0"/>
              <w:right w:val="single" w:color="auto" w:sz="4" w:space="0"/>
            </w:tcBorders>
            <w:shd w:val="clear" w:color="auto" w:fill="auto"/>
            <w:noWrap/>
            <w:vAlign w:val="center"/>
          </w:tcPr>
          <w:p w14:paraId="708C401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3C6C52A">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3C03B2CA">
            <w:pPr>
              <w:widowControl/>
              <w:jc w:val="center"/>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14:paraId="30F369B9">
            <w:pPr>
              <w:widowControl/>
              <w:jc w:val="left"/>
              <w:rPr>
                <w:rFonts w:ascii="Times New Roman" w:hAnsi="Times New Roman" w:eastAsia="仿宋_GB2312"/>
                <w:color w:val="000000"/>
                <w:kern w:val="0"/>
                <w:szCs w:val="21"/>
              </w:rPr>
            </w:pP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66DD1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FA949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长期对公路养护</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C2B8D">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0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A6C11D">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7FFA743">
            <w:pPr>
              <w:spacing w:line="280" w:lineRule="exact"/>
              <w:ind w:firstLine="210" w:firstLineChars="100"/>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19B51F">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1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D8B7B3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69D4148">
        <w:tblPrEx>
          <w:tblCellMar>
            <w:top w:w="0" w:type="dxa"/>
            <w:left w:w="108" w:type="dxa"/>
            <w:bottom w:w="0" w:type="dxa"/>
            <w:right w:w="108" w:type="dxa"/>
          </w:tblCellMar>
        </w:tblPrEx>
        <w:trPr>
          <w:trHeight w:val="340" w:hRule="atLeast"/>
          <w:jc w:val="center"/>
        </w:trPr>
        <w:tc>
          <w:tcPr>
            <w:tcW w:w="1363" w:type="dxa"/>
            <w:vMerge w:val="continue"/>
            <w:tcBorders>
              <w:left w:val="single" w:color="auto" w:sz="4" w:space="0"/>
              <w:right w:val="single" w:color="auto" w:sz="4" w:space="0"/>
            </w:tcBorders>
            <w:shd w:val="clear" w:color="auto" w:fill="auto"/>
            <w:noWrap/>
            <w:vAlign w:val="center"/>
          </w:tcPr>
          <w:p w14:paraId="59B81A93">
            <w:pPr>
              <w:jc w:val="left"/>
              <w:rPr>
                <w:rFonts w:ascii="Times New Roman" w:hAnsi="Times New Roman" w:eastAsia="仿宋_GB2312"/>
                <w:color w:val="000000"/>
                <w:kern w:val="0"/>
                <w:szCs w:val="21"/>
              </w:rPr>
            </w:pPr>
          </w:p>
        </w:tc>
        <w:tc>
          <w:tcPr>
            <w:tcW w:w="1020" w:type="dxa"/>
            <w:vMerge w:val="continue"/>
            <w:tcBorders>
              <w:left w:val="nil"/>
              <w:right w:val="single" w:color="auto" w:sz="4" w:space="0"/>
            </w:tcBorders>
            <w:shd w:val="clear" w:color="auto" w:fill="auto"/>
            <w:noWrap/>
            <w:vAlign w:val="center"/>
          </w:tcPr>
          <w:p w14:paraId="112BDE02">
            <w:pPr>
              <w:widowControl/>
              <w:jc w:val="center"/>
              <w:rPr>
                <w:rFonts w:ascii="Times New Roman" w:hAnsi="Times New Roman" w:eastAsia="仿宋_GB2312"/>
                <w:color w:val="000000"/>
                <w:kern w:val="0"/>
                <w:szCs w:val="21"/>
              </w:rPr>
            </w:pP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19A64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社会公众或服务对象满意度</w:t>
            </w:r>
          </w:p>
        </w:tc>
        <w:tc>
          <w:tcPr>
            <w:tcW w:w="1125" w:type="dxa"/>
            <w:tcBorders>
              <w:top w:val="nil"/>
              <w:left w:val="nil"/>
              <w:bottom w:val="single" w:color="auto" w:sz="4" w:space="0"/>
              <w:right w:val="single" w:color="auto" w:sz="4" w:space="0"/>
            </w:tcBorders>
            <w:shd w:val="clear" w:color="auto" w:fill="auto"/>
            <w:noWrap/>
            <w:vAlign w:val="center"/>
          </w:tcPr>
          <w:p w14:paraId="36C97AD5">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公众满意度</w:t>
            </w:r>
          </w:p>
        </w:tc>
        <w:tc>
          <w:tcPr>
            <w:tcW w:w="1110" w:type="dxa"/>
            <w:tcBorders>
              <w:top w:val="nil"/>
              <w:left w:val="nil"/>
              <w:bottom w:val="single" w:color="auto" w:sz="4" w:space="0"/>
              <w:right w:val="single" w:color="auto" w:sz="4" w:space="0"/>
            </w:tcBorders>
            <w:shd w:val="clear" w:color="auto" w:fill="auto"/>
            <w:noWrap/>
            <w:vAlign w:val="center"/>
          </w:tcPr>
          <w:p w14:paraId="6F3C0592">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达到95%以上</w:t>
            </w:r>
          </w:p>
        </w:tc>
        <w:tc>
          <w:tcPr>
            <w:tcW w:w="1065" w:type="dxa"/>
            <w:gridSpan w:val="2"/>
            <w:tcBorders>
              <w:top w:val="nil"/>
              <w:left w:val="nil"/>
              <w:bottom w:val="single" w:color="auto" w:sz="4" w:space="0"/>
              <w:right w:val="single" w:color="auto" w:sz="4" w:space="0"/>
            </w:tcBorders>
            <w:shd w:val="clear" w:color="auto" w:fill="auto"/>
            <w:noWrap/>
            <w:vAlign w:val="center"/>
          </w:tcPr>
          <w:p w14:paraId="6A8E5E87">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98%</w:t>
            </w:r>
          </w:p>
        </w:tc>
        <w:tc>
          <w:tcPr>
            <w:tcW w:w="1170" w:type="dxa"/>
            <w:gridSpan w:val="2"/>
            <w:tcBorders>
              <w:top w:val="nil"/>
              <w:left w:val="nil"/>
              <w:bottom w:val="single" w:color="auto" w:sz="4" w:space="0"/>
              <w:right w:val="single" w:color="auto" w:sz="4" w:space="0"/>
            </w:tcBorders>
            <w:shd w:val="clear" w:color="auto" w:fill="auto"/>
            <w:noWrap/>
            <w:vAlign w:val="center"/>
          </w:tcPr>
          <w:p w14:paraId="2C0A54EE">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765" w:type="dxa"/>
            <w:tcBorders>
              <w:top w:val="nil"/>
              <w:left w:val="nil"/>
              <w:bottom w:val="single" w:color="auto" w:sz="4" w:space="0"/>
              <w:right w:val="single" w:color="auto" w:sz="4" w:space="0"/>
            </w:tcBorders>
            <w:shd w:val="clear" w:color="auto" w:fill="auto"/>
            <w:noWrap/>
            <w:vAlign w:val="center"/>
          </w:tcPr>
          <w:p w14:paraId="06EF187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1271" w:type="dxa"/>
            <w:gridSpan w:val="2"/>
            <w:tcBorders>
              <w:top w:val="nil"/>
              <w:left w:val="nil"/>
              <w:bottom w:val="single" w:color="auto" w:sz="4" w:space="0"/>
              <w:right w:val="single" w:color="auto" w:sz="4" w:space="0"/>
            </w:tcBorders>
            <w:shd w:val="clear" w:color="auto" w:fill="auto"/>
            <w:noWrap/>
            <w:vAlign w:val="center"/>
          </w:tcPr>
          <w:p w14:paraId="34BE78A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682B91E">
        <w:tblPrEx>
          <w:tblCellMar>
            <w:top w:w="0" w:type="dxa"/>
            <w:left w:w="108" w:type="dxa"/>
            <w:bottom w:w="0" w:type="dxa"/>
            <w:right w:w="108" w:type="dxa"/>
          </w:tblCellMar>
        </w:tblPrEx>
        <w:trPr>
          <w:trHeight w:val="340" w:hRule="atLeast"/>
          <w:jc w:val="center"/>
        </w:trPr>
        <w:tc>
          <w:tcPr>
            <w:tcW w:w="6793"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9A8A52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xml:space="preserve">                          总分</w:t>
            </w:r>
          </w:p>
        </w:tc>
        <w:tc>
          <w:tcPr>
            <w:tcW w:w="117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9E2BD00">
            <w:pPr>
              <w:widowControl/>
              <w:ind w:firstLine="210" w:firstLineChars="1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C7AD9B">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998CFC2">
            <w:pPr>
              <w:widowControl/>
              <w:jc w:val="left"/>
              <w:rPr>
                <w:rFonts w:ascii="Times New Roman" w:hAnsi="Times New Roman" w:eastAsia="仿宋_GB2312"/>
                <w:color w:val="000000"/>
                <w:kern w:val="0"/>
                <w:szCs w:val="21"/>
              </w:rPr>
            </w:pPr>
          </w:p>
        </w:tc>
      </w:tr>
    </w:tbl>
    <w:p w14:paraId="400F066E">
      <w:pPr>
        <w:spacing w:beforeLines="50"/>
        <w:sectPr>
          <w:pgSz w:w="11906" w:h="16838"/>
          <w:pgMar w:top="1134" w:right="1689" w:bottom="1134" w:left="1689" w:header="851" w:footer="992" w:gutter="0"/>
          <w:cols w:space="0" w:num="1"/>
          <w:rtlGutter w:val="0"/>
          <w:docGrid w:type="lines" w:linePitch="312" w:charSpace="0"/>
        </w:sectPr>
      </w:pPr>
    </w:p>
    <w:p w14:paraId="122C573C">
      <w:pPr>
        <w:rPr>
          <w:rFonts w:ascii="Times New Roman" w:hAnsi="Times New Roman" w:eastAsia="黑体"/>
        </w:rPr>
      </w:pPr>
      <w:r>
        <w:rPr>
          <w:rFonts w:ascii="Times New Roman" w:hAnsi="Times New Roman" w:eastAsia="黑体"/>
          <w:sz w:val="32"/>
          <w:szCs w:val="32"/>
        </w:rPr>
        <w:t>附件4</w:t>
      </w:r>
    </w:p>
    <w:tbl>
      <w:tblPr>
        <w:tblStyle w:val="2"/>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76DD0AFB">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029D890B">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4F7BD009">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3F452CC1">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2022</w:t>
            </w:r>
            <w:r>
              <w:rPr>
                <w:rFonts w:ascii="Times New Roman" w:hAnsi="Times New Roman"/>
                <w:color w:val="000000"/>
                <w:kern w:val="0"/>
                <w:sz w:val="22"/>
              </w:rPr>
              <w:t>年度）</w:t>
            </w:r>
          </w:p>
        </w:tc>
      </w:tr>
      <w:tr w14:paraId="74F07292">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129BE70F">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4BEE65B5">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0BBBC00F">
            <w:pPr>
              <w:widowControl/>
              <w:jc w:val="center"/>
              <w:rPr>
                <w:rFonts w:ascii="Times New Roman" w:hAnsi="Times New Roman" w:eastAsia="仿宋_GB2312"/>
                <w:color w:val="000000"/>
                <w:kern w:val="0"/>
                <w:szCs w:val="21"/>
              </w:rPr>
            </w:pPr>
            <w:r>
              <w:rPr>
                <w:rFonts w:hint="eastAsia" w:ascii="Times New Roman" w:hAnsi="Times New Roman"/>
                <w:kern w:val="0"/>
                <w:szCs w:val="21"/>
                <w:lang w:val="en-US" w:eastAsia="zh-CN"/>
              </w:rPr>
              <w:t>农村公路养护工程</w:t>
            </w:r>
            <w:r>
              <w:rPr>
                <w:rFonts w:ascii="Times New Roman" w:hAnsi="Times New Roman" w:eastAsia="仿宋_GB2312"/>
                <w:color w:val="000000"/>
                <w:kern w:val="0"/>
                <w:szCs w:val="21"/>
              </w:rPr>
              <w:t>　</w:t>
            </w:r>
          </w:p>
        </w:tc>
      </w:tr>
      <w:tr w14:paraId="2A6BF9BF">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95F2B5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55C3F14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73B6006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4FF697D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p>
        </w:tc>
      </w:tr>
      <w:tr w14:paraId="2D0CC554">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5DB814A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14AE76C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2FAC4F0B">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7F5635A4">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14:paraId="6B9DFBD4">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66AFC271">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14:paraId="74396075">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50B72DDC">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30FB071A">
            <w:pPr>
              <w:spacing w:line="240" w:lineRule="exact"/>
              <w:jc w:val="center"/>
              <w:rPr>
                <w:rFonts w:ascii="Times New Roman" w:hAnsi="Times New Roman" w:eastAsia="仿宋_GB2312"/>
                <w:szCs w:val="21"/>
              </w:rPr>
            </w:pPr>
          </w:p>
          <w:p w14:paraId="74E67B6C">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0A8F9233">
            <w:pPr>
              <w:spacing w:line="240" w:lineRule="exact"/>
              <w:jc w:val="center"/>
              <w:rPr>
                <w:rFonts w:ascii="Times New Roman" w:hAnsi="Times New Roman" w:eastAsia="仿宋_GB2312"/>
                <w:szCs w:val="21"/>
              </w:rPr>
            </w:pPr>
          </w:p>
          <w:p w14:paraId="44FF46F5">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21D84181">
            <w:pPr>
              <w:spacing w:line="240" w:lineRule="exact"/>
              <w:jc w:val="center"/>
              <w:rPr>
                <w:rFonts w:ascii="Times New Roman" w:hAnsi="Times New Roman" w:eastAsia="仿宋_GB2312"/>
                <w:szCs w:val="21"/>
              </w:rPr>
            </w:pPr>
          </w:p>
          <w:p w14:paraId="339EF2F1">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77024092">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5A56EE7">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441EB6A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6571903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404529C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713C0FD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kern w:val="0"/>
                <w:szCs w:val="21"/>
                <w:lang w:val="en-US" w:eastAsia="zh-CN"/>
              </w:rPr>
              <w:t>242.21</w:t>
            </w:r>
            <w:r>
              <w:rPr>
                <w:rFonts w:ascii="Times New Roman" w:hAnsi="Times New Roman"/>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338258D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14:paraId="76E113E6">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79076E0F">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w:t>
            </w:r>
          </w:p>
        </w:tc>
      </w:tr>
      <w:tr w14:paraId="09912A83">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E68872C">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253091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50C64CB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7FD3FC8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144C7DB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kern w:val="0"/>
                <w:szCs w:val="21"/>
                <w:lang w:val="en-US" w:eastAsia="zh-CN"/>
              </w:rPr>
              <w:t>242.21</w:t>
            </w:r>
            <w:r>
              <w:rPr>
                <w:rFonts w:ascii="Times New Roman" w:hAnsi="Times New Roman"/>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43E181B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19092E0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64BB49C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04E8AC7">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CE917A5">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29D66ED">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2465EEF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76D1E03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021A728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1B1B41D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647F04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1DAAF5B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DF9037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9C4ECEB">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B5BE434">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5A5C739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4242574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78E9C87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6C36BD4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163D608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303F513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95FC68D">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532AEA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096D215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06F740C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1613235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022FB41A">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3298B525">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6E1F327">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s="Times New Roman"/>
                <w:color w:val="000000"/>
                <w:szCs w:val="21"/>
              </w:rPr>
              <w:t>全面完成年度大中修及预防性养护任务，工程质量合格率达100%。</w:t>
            </w:r>
            <w:r>
              <w:rPr>
                <w:rFonts w:ascii="Times New Roman" w:hAnsi="Times New Roman" w:eastAsia="仿宋_GB2312" w:cs="Times New Roman"/>
                <w:color w:val="000000"/>
                <w:szCs w:val="21"/>
              </w:rPr>
              <w:t>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6462AB94">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s="Times New Roman"/>
                <w:color w:val="000000"/>
                <w:szCs w:val="21"/>
              </w:rPr>
              <w:t>　</w:t>
            </w:r>
            <w:r>
              <w:rPr>
                <w:rFonts w:hint="eastAsia" w:ascii="Times New Roman" w:hAnsi="Times New Roman" w:eastAsia="仿宋_GB2312" w:cs="Times New Roman"/>
                <w:color w:val="000000"/>
                <w:szCs w:val="21"/>
                <w:lang w:val="en-US" w:eastAsia="zh-CN"/>
              </w:rPr>
              <w:t>按时按质完成年度</w:t>
            </w:r>
            <w:r>
              <w:rPr>
                <w:rFonts w:hint="eastAsia" w:ascii="Times New Roman" w:hAnsi="Times New Roman" w:eastAsia="仿宋_GB2312" w:cs="Times New Roman"/>
                <w:color w:val="000000"/>
                <w:szCs w:val="21"/>
              </w:rPr>
              <w:t>大中修及预防性养护任务，工程质量合格率达100%</w:t>
            </w:r>
          </w:p>
        </w:tc>
      </w:tr>
      <w:tr w14:paraId="16FBAED3">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4C2420C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40D8C59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48F9024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3139B48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66CE671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AB0851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654383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62DA77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2EFDB07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4B59CD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37C0A1A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FACA39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52985D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7F2092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3FE1E98C">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3A9EC05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0C8A1F91">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E5B931A">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6B03443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09B58C6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C6F1F19">
            <w:pPr>
              <w:widowControl/>
              <w:jc w:val="center"/>
              <w:rPr>
                <w:rFonts w:ascii="Times New Roman" w:hAnsi="Times New Roman" w:eastAsia="仿宋_GB2312"/>
                <w:color w:val="000000"/>
                <w:kern w:val="0"/>
                <w:szCs w:val="21"/>
              </w:rPr>
            </w:pPr>
          </w:p>
          <w:p w14:paraId="2C1E844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B7ABC0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468A59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完成投资、 国 省 道大中修指标</w:t>
            </w:r>
          </w:p>
          <w:p w14:paraId="585274FF">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AD763C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覆 盖 率 达 到 </w:t>
            </w:r>
          </w:p>
          <w:p w14:paraId="0F44134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100%</w:t>
            </w:r>
          </w:p>
          <w:p w14:paraId="04DC3F9B">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05BEC18">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D63B781">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BD6946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4070FE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CAE9F7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BFECE25">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FDFDD5C">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7D9E85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66AD85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国 省 道路 </w:t>
            </w:r>
          </w:p>
          <w:p w14:paraId="20946DC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面 使 用性 </w:t>
            </w:r>
          </w:p>
          <w:p w14:paraId="666013D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能指数、工 </w:t>
            </w:r>
          </w:p>
          <w:p w14:paraId="2D9DFC3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程监督抽 </w:t>
            </w:r>
          </w:p>
          <w:p w14:paraId="06A38CA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检覆盖率</w:t>
            </w:r>
          </w:p>
          <w:p w14:paraId="51890737">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F28BDD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p w14:paraId="6C1E77C2">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DF13908">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B563174">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0D9B84A4">
            <w:pPr>
              <w:spacing w:line="280" w:lineRule="exact"/>
              <w:rPr>
                <w:rFonts w:hint="default" w:ascii="Times New Roman" w:hAnsi="Times New Roman" w:eastAsia="仿宋_GB2312" w:cs="Times New Roman"/>
                <w:color w:val="000000"/>
                <w:kern w:val="2"/>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A7B3F52">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0DA25099">
            <w:pPr>
              <w:spacing w:line="280" w:lineRule="exact"/>
              <w:rPr>
                <w:rFonts w:hint="default" w:ascii="Times New Roman" w:hAnsi="Times New Roman" w:eastAsia="仿宋_GB2312" w:cs="Times New Roman"/>
                <w:color w:val="000000"/>
                <w:kern w:val="2"/>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B821B7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06034D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8927B94">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370987A">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09713E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21074FB">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政 府 下达 </w:t>
            </w:r>
          </w:p>
          <w:p w14:paraId="1B433CA4">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重 点 工  按期完成</w:t>
            </w:r>
          </w:p>
          <w:p w14:paraId="4F07CA91">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FD3A854">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F456967">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922E241">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8589416">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A31558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473950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1447F28">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1513B2D9">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96DCDC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454D074">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国省道大中 修补助标准、农村公路改善提升工程，补助标准，不超 过任务下达的预期成本</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A916FD0">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支出控制在预算内</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F8262C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所有支出控制在预算内</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0F8C996">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B4591A3">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F062AC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5EFC27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341EFA0">
            <w:pPr>
              <w:jc w:val="center"/>
              <w:rPr>
                <w:rFonts w:ascii="Times New Roman" w:hAnsi="Times New Roman" w:eastAsia="仿宋_GB2312"/>
                <w:color w:val="000000"/>
                <w:kern w:val="0"/>
                <w:szCs w:val="21"/>
              </w:rPr>
            </w:pP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221DD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548E0FC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0C956C76">
            <w:pPr>
              <w:widowControl/>
              <w:jc w:val="left"/>
              <w:rPr>
                <w:rFonts w:ascii="Times New Roman" w:hAnsi="Times New Roman" w:eastAsia="仿宋_GB2312"/>
                <w:color w:val="000000"/>
                <w:kern w:val="0"/>
                <w:szCs w:val="21"/>
              </w:rPr>
            </w:pPr>
          </w:p>
          <w:p w14:paraId="2C6C01E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7B91CACA">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4BA7B7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1025609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1985C0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各项交通建设项目在工程建设、后期养护中为道路沿线及运输站场附近的群众提供的直接收入</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A32C05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B97C816">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42FF6DD">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1E33D6E">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66AC1F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10FA6E5">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103E377">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A4E1129">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8F3C26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5D17DC6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40790E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构建外畅内联、结构合理、安全高效公路网</w:t>
            </w:r>
          </w:p>
          <w:p w14:paraId="021C3960">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14875F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AC13C3D">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EE5647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8904263">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B9BC6E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3EBAFE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BC6A725">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C6F5FA7">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EC6F0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6DCD4C5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04CEF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绿色交通</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909B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221AD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7AA88E">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7387644">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0A477C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AE2D75D">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D691DDC">
            <w:pPr>
              <w:widowControl/>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0A19E6">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C02D4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C33B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长期对公路养护</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9128C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F6A54D">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5F8B7E">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04AEC6">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A148A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33DD998">
        <w:tblPrEx>
          <w:tblCellMar>
            <w:top w:w="0" w:type="dxa"/>
            <w:left w:w="108" w:type="dxa"/>
            <w:bottom w:w="0" w:type="dxa"/>
            <w:right w:w="108" w:type="dxa"/>
          </w:tblCellMar>
        </w:tblPrEx>
        <w:trPr>
          <w:trHeight w:val="440" w:hRule="atLeast"/>
          <w:jc w:val="center"/>
        </w:trPr>
        <w:tc>
          <w:tcPr>
            <w:tcW w:w="1135" w:type="dxa"/>
            <w:vMerge w:val="continue"/>
            <w:tcBorders>
              <w:left w:val="single" w:color="auto" w:sz="4" w:space="0"/>
              <w:right w:val="single" w:color="auto" w:sz="4" w:space="0"/>
            </w:tcBorders>
            <w:shd w:val="clear" w:color="auto" w:fill="auto"/>
            <w:noWrap/>
            <w:vAlign w:val="center"/>
          </w:tcPr>
          <w:p w14:paraId="62FCE5CD">
            <w:pPr>
              <w:jc w:val="left"/>
              <w:rPr>
                <w:rFonts w:ascii="Times New Roman" w:hAnsi="Times New Roman" w:eastAsia="仿宋_GB2312"/>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5EBD3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76109F0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7E666FB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F7BB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single" w:color="auto" w:sz="4" w:space="0"/>
              <w:bottom w:val="single" w:color="auto" w:sz="4" w:space="0"/>
              <w:right w:val="single" w:color="auto" w:sz="4" w:space="0"/>
            </w:tcBorders>
            <w:shd w:val="clear" w:color="auto" w:fill="auto"/>
            <w:noWrap/>
            <w:vAlign w:val="center"/>
          </w:tcPr>
          <w:p w14:paraId="639F8B40">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公众满意度</w:t>
            </w:r>
          </w:p>
        </w:tc>
        <w:tc>
          <w:tcPr>
            <w:tcW w:w="1230" w:type="dxa"/>
            <w:tcBorders>
              <w:top w:val="nil"/>
              <w:left w:val="nil"/>
              <w:bottom w:val="single" w:color="auto" w:sz="4" w:space="0"/>
              <w:right w:val="single" w:color="auto" w:sz="4" w:space="0"/>
            </w:tcBorders>
            <w:shd w:val="clear" w:color="auto" w:fill="auto"/>
            <w:noWrap/>
            <w:vAlign w:val="center"/>
          </w:tcPr>
          <w:p w14:paraId="0AD367C8">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达到95%以上</w:t>
            </w:r>
          </w:p>
        </w:tc>
        <w:tc>
          <w:tcPr>
            <w:tcW w:w="1107" w:type="dxa"/>
            <w:tcBorders>
              <w:top w:val="nil"/>
              <w:left w:val="nil"/>
              <w:bottom w:val="single" w:color="auto" w:sz="4" w:space="0"/>
              <w:right w:val="single" w:color="auto" w:sz="4" w:space="0"/>
            </w:tcBorders>
            <w:shd w:val="clear" w:color="auto" w:fill="auto"/>
            <w:noWrap/>
            <w:vAlign w:val="center"/>
          </w:tcPr>
          <w:p w14:paraId="29184D9B">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98%</w:t>
            </w:r>
          </w:p>
        </w:tc>
        <w:tc>
          <w:tcPr>
            <w:tcW w:w="993" w:type="dxa"/>
            <w:tcBorders>
              <w:top w:val="nil"/>
              <w:left w:val="nil"/>
              <w:bottom w:val="single" w:color="auto" w:sz="4" w:space="0"/>
              <w:right w:val="single" w:color="auto" w:sz="4" w:space="0"/>
            </w:tcBorders>
            <w:shd w:val="clear" w:color="auto" w:fill="auto"/>
            <w:noWrap/>
            <w:vAlign w:val="center"/>
          </w:tcPr>
          <w:p w14:paraId="08EADFB4">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855" w:type="dxa"/>
            <w:tcBorders>
              <w:top w:val="nil"/>
              <w:left w:val="nil"/>
              <w:bottom w:val="single" w:color="auto" w:sz="4" w:space="0"/>
              <w:right w:val="single" w:color="auto" w:sz="4" w:space="0"/>
            </w:tcBorders>
            <w:shd w:val="clear" w:color="auto" w:fill="auto"/>
            <w:noWrap/>
            <w:vAlign w:val="center"/>
          </w:tcPr>
          <w:p w14:paraId="1F189227">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1271" w:type="dxa"/>
            <w:tcBorders>
              <w:top w:val="nil"/>
              <w:left w:val="nil"/>
              <w:bottom w:val="single" w:color="auto" w:sz="4" w:space="0"/>
              <w:right w:val="single" w:color="auto" w:sz="4" w:space="0"/>
            </w:tcBorders>
            <w:shd w:val="clear" w:color="auto" w:fill="auto"/>
            <w:noWrap/>
            <w:vAlign w:val="center"/>
          </w:tcPr>
          <w:p w14:paraId="19A6BF4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3F9E812">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68205A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6EB8E36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6FBB9E5E">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25E3B38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73E85ABC">
      <w:pPr>
        <w:rPr>
          <w:rFonts w:ascii="Times New Roman" w:hAnsi="Times New Roman" w:eastAsia="黑体"/>
          <w:sz w:val="32"/>
          <w:szCs w:val="32"/>
        </w:rPr>
      </w:pPr>
    </w:p>
    <w:p w14:paraId="660E14D3">
      <w:pPr>
        <w:rPr>
          <w:rFonts w:ascii="Times New Roman" w:hAnsi="Times New Roman" w:eastAsia="黑体"/>
          <w:sz w:val="32"/>
          <w:szCs w:val="32"/>
        </w:rPr>
      </w:pPr>
    </w:p>
    <w:p w14:paraId="7BC51453">
      <w:pPr>
        <w:rPr>
          <w:rFonts w:ascii="Times New Roman" w:hAnsi="Times New Roman" w:eastAsia="黑体"/>
          <w:sz w:val="32"/>
          <w:szCs w:val="32"/>
        </w:rPr>
      </w:pPr>
    </w:p>
    <w:p w14:paraId="25E887AC">
      <w:pPr>
        <w:rPr>
          <w:rFonts w:ascii="Times New Roman" w:hAnsi="Times New Roman" w:eastAsia="黑体"/>
          <w:sz w:val="32"/>
          <w:szCs w:val="32"/>
        </w:rPr>
      </w:pPr>
    </w:p>
    <w:p w14:paraId="0D0AE6CA">
      <w:pPr>
        <w:rPr>
          <w:rFonts w:ascii="Times New Roman" w:hAnsi="Times New Roman" w:eastAsia="黑体"/>
          <w:sz w:val="32"/>
          <w:szCs w:val="32"/>
        </w:rPr>
      </w:pPr>
    </w:p>
    <w:p w14:paraId="14B90039">
      <w:pPr>
        <w:rPr>
          <w:rFonts w:ascii="Times New Roman" w:hAnsi="Times New Roman" w:eastAsia="黑体"/>
          <w:sz w:val="32"/>
          <w:szCs w:val="32"/>
        </w:rPr>
      </w:pPr>
    </w:p>
    <w:p w14:paraId="70786E85">
      <w:pPr>
        <w:rPr>
          <w:rFonts w:ascii="Times New Roman" w:hAnsi="Times New Roman" w:eastAsia="黑体"/>
          <w:sz w:val="32"/>
          <w:szCs w:val="32"/>
        </w:rPr>
      </w:pPr>
    </w:p>
    <w:p w14:paraId="2708D4D3">
      <w:pPr>
        <w:rPr>
          <w:rFonts w:ascii="Times New Roman" w:hAnsi="Times New Roman" w:eastAsia="黑体"/>
          <w:sz w:val="32"/>
          <w:szCs w:val="32"/>
        </w:rPr>
      </w:pPr>
    </w:p>
    <w:p w14:paraId="2EF7BE13">
      <w:pPr>
        <w:rPr>
          <w:rFonts w:ascii="Times New Roman" w:hAnsi="Times New Roman" w:eastAsia="黑体"/>
          <w:sz w:val="32"/>
          <w:szCs w:val="32"/>
        </w:rPr>
      </w:pPr>
    </w:p>
    <w:p w14:paraId="4CD1CB1C">
      <w:pPr>
        <w:rPr>
          <w:rFonts w:ascii="Times New Roman" w:hAnsi="Times New Roman" w:eastAsia="黑体"/>
          <w:sz w:val="32"/>
          <w:szCs w:val="32"/>
        </w:rPr>
      </w:pPr>
    </w:p>
    <w:p w14:paraId="3765E414">
      <w:pPr>
        <w:rPr>
          <w:rFonts w:ascii="Times New Roman" w:hAnsi="Times New Roman" w:eastAsia="黑体"/>
        </w:rPr>
      </w:pPr>
      <w:r>
        <w:rPr>
          <w:rFonts w:ascii="Times New Roman" w:hAnsi="Times New Roman" w:eastAsia="黑体"/>
          <w:sz w:val="32"/>
          <w:szCs w:val="32"/>
        </w:rPr>
        <w:t>附件4</w:t>
      </w:r>
    </w:p>
    <w:tbl>
      <w:tblPr>
        <w:tblStyle w:val="2"/>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50DE6437">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39C3070F">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3295DEE3">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45238968">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2022</w:t>
            </w:r>
            <w:r>
              <w:rPr>
                <w:rFonts w:ascii="Times New Roman" w:hAnsi="Times New Roman"/>
                <w:color w:val="000000"/>
                <w:kern w:val="0"/>
                <w:sz w:val="22"/>
              </w:rPr>
              <w:t>年度）</w:t>
            </w:r>
          </w:p>
        </w:tc>
      </w:tr>
      <w:tr w14:paraId="6ECB16D8">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FFE2FF7">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5548D1E1">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476BA3EF">
            <w:pPr>
              <w:widowControl/>
              <w:jc w:val="center"/>
              <w:rPr>
                <w:rFonts w:ascii="Times New Roman" w:hAnsi="Times New Roman" w:eastAsia="仿宋_GB2312"/>
                <w:color w:val="000000"/>
                <w:kern w:val="0"/>
                <w:szCs w:val="21"/>
              </w:rPr>
            </w:pPr>
            <w:r>
              <w:rPr>
                <w:rFonts w:hint="eastAsia" w:ascii="Times New Roman" w:hAnsi="Times New Roman"/>
                <w:kern w:val="0"/>
                <w:szCs w:val="21"/>
                <w:lang w:val="en-US" w:eastAsia="zh-CN"/>
              </w:rPr>
              <w:t>农村公路日常养护</w:t>
            </w:r>
            <w:r>
              <w:rPr>
                <w:rFonts w:ascii="Times New Roman" w:hAnsi="Times New Roman" w:eastAsia="仿宋_GB2312"/>
                <w:color w:val="000000"/>
                <w:kern w:val="0"/>
                <w:szCs w:val="21"/>
              </w:rPr>
              <w:t>　</w:t>
            </w:r>
          </w:p>
        </w:tc>
      </w:tr>
      <w:tr w14:paraId="2A97014B">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1C2A5A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01CFF59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3093C95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45392B5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p>
        </w:tc>
      </w:tr>
      <w:tr w14:paraId="2637E9B0">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5B524F8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5D0AEA1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4E3E75E2">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41F3867C">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14:paraId="63593F71">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30109E1F">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14:paraId="772BFBC1">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68CE193C">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26802A46">
            <w:pPr>
              <w:spacing w:line="240" w:lineRule="exact"/>
              <w:jc w:val="center"/>
              <w:rPr>
                <w:rFonts w:ascii="Times New Roman" w:hAnsi="Times New Roman" w:eastAsia="仿宋_GB2312"/>
                <w:szCs w:val="21"/>
              </w:rPr>
            </w:pPr>
          </w:p>
          <w:p w14:paraId="741C2AAF">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52590D62">
            <w:pPr>
              <w:spacing w:line="240" w:lineRule="exact"/>
              <w:jc w:val="center"/>
              <w:rPr>
                <w:rFonts w:ascii="Times New Roman" w:hAnsi="Times New Roman" w:eastAsia="仿宋_GB2312"/>
                <w:szCs w:val="21"/>
              </w:rPr>
            </w:pPr>
          </w:p>
          <w:p w14:paraId="2B391320">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0254E3F5">
            <w:pPr>
              <w:spacing w:line="240" w:lineRule="exact"/>
              <w:jc w:val="center"/>
              <w:rPr>
                <w:rFonts w:ascii="Times New Roman" w:hAnsi="Times New Roman" w:eastAsia="仿宋_GB2312"/>
                <w:szCs w:val="21"/>
              </w:rPr>
            </w:pPr>
          </w:p>
          <w:p w14:paraId="6827B3DE">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7661CC1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26B5283">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2BE8A1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50BC2CE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249908D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35CBBD54">
            <w:pPr>
              <w:widowControl/>
              <w:jc w:val="left"/>
              <w:rPr>
                <w:rFonts w:hint="default" w:ascii="Times New Roman" w:hAnsi="Times New Roman" w:eastAsia="仿宋_GB2312"/>
                <w:color w:val="000000"/>
                <w:kern w:val="0"/>
                <w:szCs w:val="21"/>
                <w:lang w:val="en-US"/>
              </w:rPr>
            </w:pPr>
            <w:r>
              <w:rPr>
                <w:rFonts w:ascii="Times New Roman" w:hAnsi="Times New Roman" w:eastAsia="仿宋_GB2312"/>
                <w:color w:val="000000"/>
                <w:kern w:val="0"/>
                <w:szCs w:val="21"/>
              </w:rPr>
              <w:t>　</w:t>
            </w:r>
            <w:r>
              <w:rPr>
                <w:rFonts w:hint="eastAsia" w:ascii="Times New Roman" w:hAnsi="Times New Roman"/>
                <w:kern w:val="0"/>
                <w:szCs w:val="21"/>
                <w:lang w:val="en-US" w:eastAsia="zh-CN"/>
              </w:rPr>
              <w:t>95.20</w:t>
            </w:r>
          </w:p>
        </w:tc>
        <w:tc>
          <w:tcPr>
            <w:tcW w:w="993" w:type="dxa"/>
            <w:tcBorders>
              <w:top w:val="nil"/>
              <w:left w:val="nil"/>
              <w:bottom w:val="single" w:color="auto" w:sz="4" w:space="0"/>
              <w:right w:val="single" w:color="auto" w:sz="4" w:space="0"/>
            </w:tcBorders>
            <w:shd w:val="clear" w:color="auto" w:fill="auto"/>
            <w:noWrap/>
            <w:vAlign w:val="center"/>
          </w:tcPr>
          <w:p w14:paraId="7BDEE66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14:paraId="2307D661">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3AFE3702">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w:t>
            </w:r>
          </w:p>
        </w:tc>
      </w:tr>
      <w:tr w14:paraId="79656473">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E16CD4E">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5D7CC8F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58AEDC9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7B178B6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7ECEBD22">
            <w:pPr>
              <w:widowControl/>
              <w:ind w:firstLine="210" w:firstLineChars="100"/>
              <w:jc w:val="left"/>
              <w:rPr>
                <w:rFonts w:hint="default" w:ascii="Times New Roman" w:hAnsi="Times New Roman" w:eastAsia="宋体"/>
                <w:color w:val="000000"/>
                <w:kern w:val="0"/>
                <w:szCs w:val="21"/>
                <w:lang w:val="en-US" w:eastAsia="zh-CN"/>
              </w:rPr>
            </w:pPr>
            <w:r>
              <w:rPr>
                <w:rFonts w:hint="eastAsia" w:ascii="Times New Roman" w:hAnsi="Times New Roman" w:eastAsia="仿宋_GB2312"/>
                <w:color w:val="000000"/>
                <w:kern w:val="0"/>
                <w:szCs w:val="21"/>
                <w:lang w:val="en-US" w:eastAsia="zh-CN"/>
              </w:rPr>
              <w:t>77.19</w:t>
            </w:r>
          </w:p>
        </w:tc>
        <w:tc>
          <w:tcPr>
            <w:tcW w:w="993" w:type="dxa"/>
            <w:tcBorders>
              <w:top w:val="nil"/>
              <w:left w:val="nil"/>
              <w:bottom w:val="single" w:color="auto" w:sz="4" w:space="0"/>
              <w:right w:val="single" w:color="auto" w:sz="4" w:space="0"/>
            </w:tcBorders>
            <w:shd w:val="clear" w:color="auto" w:fill="auto"/>
            <w:noWrap/>
            <w:vAlign w:val="center"/>
          </w:tcPr>
          <w:p w14:paraId="6332768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4732410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6E13DA0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7DCEFBB">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F86D3E6">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09CF650">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2187B36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232BE94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045CCE5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707CAA9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67049F1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4812134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07BD2E6">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DDA0345">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9FE2C4C">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4FD3048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303BF15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5BF4B00E">
            <w:pPr>
              <w:widowControl/>
              <w:ind w:firstLine="210" w:firstLineChars="100"/>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18.01</w:t>
            </w:r>
          </w:p>
        </w:tc>
        <w:tc>
          <w:tcPr>
            <w:tcW w:w="993" w:type="dxa"/>
            <w:tcBorders>
              <w:top w:val="nil"/>
              <w:left w:val="nil"/>
              <w:bottom w:val="single" w:color="auto" w:sz="4" w:space="0"/>
              <w:right w:val="single" w:color="auto" w:sz="4" w:space="0"/>
            </w:tcBorders>
            <w:shd w:val="clear" w:color="auto" w:fill="auto"/>
            <w:noWrap/>
            <w:vAlign w:val="center"/>
          </w:tcPr>
          <w:p w14:paraId="616CC0D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48A9130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358B782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B085199">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3AC0CBE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5C509D0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4EDDB95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1313FB4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7BA362EC">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3D3D3623">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5799C423">
            <w:pPr>
              <w:spacing w:line="280" w:lineRule="exact"/>
              <w:jc w:val="center"/>
              <w:rPr>
                <w:rFonts w:hint="eastAsia"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1.年内创建一条农村公路养护示范路　</w:t>
            </w:r>
          </w:p>
          <w:p w14:paraId="4BC68990">
            <w:pPr>
              <w:spacing w:line="280" w:lineRule="exact"/>
              <w:jc w:val="center"/>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s="Times New Roman"/>
                <w:color w:val="000000"/>
                <w:szCs w:val="21"/>
                <w:lang w:val="en-US" w:eastAsia="zh-CN"/>
              </w:rPr>
              <w:t xml:space="preserve">  2.年末全区农村公路优良率达70%以上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B4AB25E">
            <w:pPr>
              <w:spacing w:line="280" w:lineRule="exact"/>
              <w:rPr>
                <w:rFonts w:hint="eastAsia" w:ascii="Times New Roman" w:hAnsi="Times New Roman" w:eastAsia="仿宋_GB2312" w:cs="Times New Roman"/>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s="Times New Roman"/>
                <w:color w:val="000000"/>
                <w:szCs w:val="21"/>
                <w:lang w:val="en-US" w:eastAsia="zh-CN"/>
              </w:rPr>
              <w:t>1.“梓青公路”成功评为最美农村公路</w:t>
            </w:r>
          </w:p>
          <w:p w14:paraId="4BF7870D">
            <w:pPr>
              <w:spacing w:line="280" w:lineRule="exact"/>
              <w:ind w:firstLine="210" w:firstLineChars="100"/>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s="Times New Roman"/>
                <w:color w:val="000000"/>
                <w:szCs w:val="21"/>
                <w:lang w:val="en-US" w:eastAsia="zh-CN"/>
              </w:rPr>
              <w:t>2.全年农村公路优良率达82%以上</w:t>
            </w:r>
          </w:p>
        </w:tc>
      </w:tr>
      <w:tr w14:paraId="6F2CB9DE">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0B94EE9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3752433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47B5B92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18593D7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53B22E0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AB2ED9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780547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3CF443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4A1665F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3730158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082F1A1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7EE592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1F64B2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B9D7B7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79A4C99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210ADBB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56F4969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0C29C32">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2192A0F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2D59A0D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7C986DF7">
            <w:pPr>
              <w:widowControl/>
              <w:jc w:val="center"/>
              <w:rPr>
                <w:rFonts w:ascii="Times New Roman" w:hAnsi="Times New Roman" w:eastAsia="仿宋_GB2312"/>
                <w:color w:val="000000"/>
                <w:kern w:val="0"/>
                <w:szCs w:val="21"/>
              </w:rPr>
            </w:pPr>
          </w:p>
          <w:p w14:paraId="10F682C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67BB55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F2432FD">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完成投资、 国 省 道大中修指标</w:t>
            </w:r>
          </w:p>
          <w:p w14:paraId="6808C8BE">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B00B61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覆 盖 率 达 到 </w:t>
            </w:r>
          </w:p>
          <w:p w14:paraId="1BDE90C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100%</w:t>
            </w:r>
          </w:p>
          <w:p w14:paraId="5C93530A">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5E8DD9C">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877647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4C58DB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85BA7E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5A0AD8D">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0FB7B59">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606F0D6">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76222E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019168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国 省 道路 </w:t>
            </w:r>
          </w:p>
          <w:p w14:paraId="261130E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面 使 用性 </w:t>
            </w:r>
          </w:p>
          <w:p w14:paraId="31087FD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能指数、工 </w:t>
            </w:r>
          </w:p>
          <w:p w14:paraId="21AAF21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程监督抽 </w:t>
            </w:r>
          </w:p>
          <w:p w14:paraId="3638E50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检覆盖率</w:t>
            </w:r>
          </w:p>
          <w:p w14:paraId="7D8F5518">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486B89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p w14:paraId="5D6592D0">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02210F0">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25173B46">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7BE99A9C">
            <w:pPr>
              <w:spacing w:line="280" w:lineRule="exact"/>
              <w:rPr>
                <w:rFonts w:hint="default" w:ascii="Times New Roman" w:hAnsi="Times New Roman" w:eastAsia="仿宋_GB2312" w:cs="Times New Roman"/>
                <w:color w:val="000000"/>
                <w:kern w:val="2"/>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03BCBE2">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6E35081A">
            <w:pPr>
              <w:spacing w:line="280" w:lineRule="exact"/>
              <w:rPr>
                <w:rFonts w:hint="default" w:ascii="Times New Roman" w:hAnsi="Times New Roman" w:eastAsia="仿宋_GB2312" w:cs="Times New Roman"/>
                <w:color w:val="000000"/>
                <w:kern w:val="2"/>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662D12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5F3B967">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B0B0235">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4D93618E">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96A6A8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B76939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政 府 下达 </w:t>
            </w:r>
          </w:p>
          <w:p w14:paraId="75C5146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重 点 工  按期完成</w:t>
            </w:r>
          </w:p>
          <w:p w14:paraId="20DA6E25">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270CE51">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77FB92D">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0B99C0A">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C847F43">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A3FC3A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CABA11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CE5F171">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3E8CDE3">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7DA091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47E298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国省道大中 修补助标准、农村公路改善提升工程，补助标准，不超 过任务下达的预期成本</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A75F781">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支出控制在预算内</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5D4F3A8E">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所有</w:t>
            </w:r>
            <w:r>
              <w:rPr>
                <w:rFonts w:hint="eastAsia" w:ascii="宋体" w:hAnsi="宋体" w:eastAsia="宋体" w:cs="宋体"/>
                <w:color w:val="000000"/>
                <w:kern w:val="0"/>
                <w:sz w:val="19"/>
                <w:szCs w:val="19"/>
                <w:lang w:val="en-US" w:eastAsia="zh-CN"/>
              </w:rPr>
              <w:t>支出控制在预算内</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3CE81C0">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7062C68">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9097BC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C6692D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7072980">
            <w:pPr>
              <w:jc w:val="center"/>
              <w:rPr>
                <w:rFonts w:ascii="Times New Roman" w:hAnsi="Times New Roman" w:eastAsia="仿宋_GB2312"/>
                <w:color w:val="000000"/>
                <w:kern w:val="0"/>
                <w:szCs w:val="21"/>
              </w:rPr>
            </w:pP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E304C5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AAE4FB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7A7B49C">
            <w:pPr>
              <w:widowControl/>
              <w:jc w:val="left"/>
              <w:rPr>
                <w:rFonts w:ascii="Times New Roman" w:hAnsi="Times New Roman" w:eastAsia="仿宋_GB2312"/>
                <w:color w:val="000000"/>
                <w:kern w:val="0"/>
                <w:szCs w:val="21"/>
              </w:rPr>
            </w:pPr>
          </w:p>
          <w:p w14:paraId="5D70A3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42EFA864">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01FE9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524A407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79B606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各项交通建设项目在工程建设、后期养护中为道路沿线及运输站场附近的群众提供的直接收入</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C3E3435">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C5D261F">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C98504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03DB911">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93B545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A4EDD6E">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5B72E2C">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8DC47C5">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5DC13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392CFB5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9BE0C3D">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构建外畅内联、结构合理、安全高效公路网</w:t>
            </w:r>
          </w:p>
          <w:p w14:paraId="3286F73C">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1D48497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72685F8">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928BB31">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F7C50B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09916A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9B7F482">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666E1AB">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FC123D5">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94EC6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2DE8761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4DF5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绿色交通</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CCDC9A">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DD725E">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2B129C">
            <w:pPr>
              <w:spacing w:line="280" w:lineRule="exact"/>
              <w:ind w:firstLine="210" w:firstLineChars="100"/>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E48553C">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D93708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D01691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5626052">
            <w:pPr>
              <w:widowControl/>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AA6572B">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3AA5D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353DA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长期对公路养护</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8F1130">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65CC2F">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90B555">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 xml:space="preserve">  7.5</w:t>
            </w:r>
            <w:r>
              <w:rPr>
                <w:rFonts w:ascii="Times New Roman" w:hAnsi="Times New Roman" w:eastAsia="仿宋_GB2312"/>
                <w:color w:val="000000"/>
                <w:szCs w:val="21"/>
              </w:rPr>
              <w:t>　</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B9E551">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3A68F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8770C5C">
        <w:tblPrEx>
          <w:tblCellMar>
            <w:top w:w="0" w:type="dxa"/>
            <w:left w:w="108" w:type="dxa"/>
            <w:bottom w:w="0" w:type="dxa"/>
            <w:right w:w="108" w:type="dxa"/>
          </w:tblCellMar>
        </w:tblPrEx>
        <w:trPr>
          <w:trHeight w:val="440" w:hRule="atLeast"/>
          <w:jc w:val="center"/>
        </w:trPr>
        <w:tc>
          <w:tcPr>
            <w:tcW w:w="1135" w:type="dxa"/>
            <w:vMerge w:val="continue"/>
            <w:tcBorders>
              <w:left w:val="single" w:color="auto" w:sz="4" w:space="0"/>
              <w:right w:val="single" w:color="auto" w:sz="4" w:space="0"/>
            </w:tcBorders>
            <w:shd w:val="clear" w:color="auto" w:fill="auto"/>
            <w:noWrap/>
            <w:vAlign w:val="center"/>
          </w:tcPr>
          <w:p w14:paraId="4719E634">
            <w:pPr>
              <w:jc w:val="left"/>
              <w:rPr>
                <w:rFonts w:ascii="Times New Roman" w:hAnsi="Times New Roman" w:eastAsia="仿宋_GB2312"/>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94C23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708C9E2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3DB33D9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996DF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02A72E25">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公众满意度</w:t>
            </w:r>
          </w:p>
        </w:tc>
        <w:tc>
          <w:tcPr>
            <w:tcW w:w="1230" w:type="dxa"/>
            <w:tcBorders>
              <w:top w:val="nil"/>
              <w:left w:val="nil"/>
              <w:bottom w:val="single" w:color="auto" w:sz="4" w:space="0"/>
              <w:right w:val="single" w:color="auto" w:sz="4" w:space="0"/>
            </w:tcBorders>
            <w:shd w:val="clear" w:color="auto" w:fill="auto"/>
            <w:noWrap/>
            <w:vAlign w:val="center"/>
          </w:tcPr>
          <w:p w14:paraId="073B30FA">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达到95%以上</w:t>
            </w:r>
          </w:p>
        </w:tc>
        <w:tc>
          <w:tcPr>
            <w:tcW w:w="1107" w:type="dxa"/>
            <w:tcBorders>
              <w:top w:val="nil"/>
              <w:left w:val="nil"/>
              <w:bottom w:val="single" w:color="auto" w:sz="4" w:space="0"/>
              <w:right w:val="single" w:color="auto" w:sz="4" w:space="0"/>
            </w:tcBorders>
            <w:shd w:val="clear" w:color="auto" w:fill="auto"/>
            <w:noWrap/>
            <w:vAlign w:val="center"/>
          </w:tcPr>
          <w:p w14:paraId="4B7191F8">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98%</w:t>
            </w:r>
          </w:p>
        </w:tc>
        <w:tc>
          <w:tcPr>
            <w:tcW w:w="993" w:type="dxa"/>
            <w:tcBorders>
              <w:top w:val="nil"/>
              <w:left w:val="nil"/>
              <w:bottom w:val="single" w:color="auto" w:sz="4" w:space="0"/>
              <w:right w:val="single" w:color="auto" w:sz="4" w:space="0"/>
            </w:tcBorders>
            <w:shd w:val="clear" w:color="auto" w:fill="auto"/>
            <w:noWrap/>
            <w:vAlign w:val="center"/>
          </w:tcPr>
          <w:p w14:paraId="0D9207D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855" w:type="dxa"/>
            <w:tcBorders>
              <w:top w:val="nil"/>
              <w:left w:val="nil"/>
              <w:bottom w:val="single" w:color="auto" w:sz="4" w:space="0"/>
              <w:right w:val="single" w:color="auto" w:sz="4" w:space="0"/>
            </w:tcBorders>
            <w:shd w:val="clear" w:color="auto" w:fill="auto"/>
            <w:noWrap/>
            <w:vAlign w:val="center"/>
          </w:tcPr>
          <w:p w14:paraId="1B7B7E08">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1271" w:type="dxa"/>
            <w:tcBorders>
              <w:top w:val="nil"/>
              <w:left w:val="nil"/>
              <w:bottom w:val="single" w:color="auto" w:sz="4" w:space="0"/>
              <w:right w:val="single" w:color="auto" w:sz="4" w:space="0"/>
            </w:tcBorders>
            <w:shd w:val="clear" w:color="auto" w:fill="auto"/>
            <w:noWrap/>
            <w:vAlign w:val="center"/>
          </w:tcPr>
          <w:p w14:paraId="351BCC4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35F94E1">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227E11F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281783F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21D384E5">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0D497DC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261122CF">
      <w:pPr>
        <w:rPr>
          <w:rFonts w:ascii="Times New Roman" w:hAnsi="Times New Roman" w:eastAsia="黑体"/>
          <w:sz w:val="32"/>
          <w:szCs w:val="32"/>
        </w:rPr>
      </w:pPr>
    </w:p>
    <w:p w14:paraId="70F83011">
      <w:pPr>
        <w:rPr>
          <w:rFonts w:ascii="Times New Roman" w:hAnsi="Times New Roman" w:eastAsia="黑体"/>
          <w:sz w:val="32"/>
          <w:szCs w:val="32"/>
        </w:rPr>
      </w:pPr>
    </w:p>
    <w:p w14:paraId="2B3564C9">
      <w:pPr>
        <w:rPr>
          <w:rFonts w:ascii="Times New Roman" w:hAnsi="Times New Roman" w:eastAsia="黑体"/>
          <w:sz w:val="32"/>
          <w:szCs w:val="32"/>
        </w:rPr>
      </w:pPr>
    </w:p>
    <w:p w14:paraId="36194749">
      <w:pPr>
        <w:rPr>
          <w:rFonts w:ascii="Times New Roman" w:hAnsi="Times New Roman" w:eastAsia="黑体"/>
          <w:sz w:val="32"/>
          <w:szCs w:val="32"/>
        </w:rPr>
      </w:pPr>
    </w:p>
    <w:p w14:paraId="036D17DD">
      <w:pPr>
        <w:rPr>
          <w:rFonts w:ascii="Times New Roman" w:hAnsi="Times New Roman" w:eastAsia="黑体"/>
          <w:sz w:val="32"/>
          <w:szCs w:val="32"/>
        </w:rPr>
      </w:pPr>
    </w:p>
    <w:p w14:paraId="45B61327">
      <w:pPr>
        <w:rPr>
          <w:rFonts w:ascii="Times New Roman" w:hAnsi="Times New Roman" w:eastAsia="黑体"/>
          <w:sz w:val="32"/>
          <w:szCs w:val="32"/>
        </w:rPr>
      </w:pPr>
    </w:p>
    <w:p w14:paraId="634C333A">
      <w:pPr>
        <w:rPr>
          <w:rFonts w:ascii="Times New Roman" w:hAnsi="Times New Roman" w:eastAsia="黑体"/>
          <w:sz w:val="32"/>
          <w:szCs w:val="32"/>
        </w:rPr>
      </w:pPr>
    </w:p>
    <w:p w14:paraId="73232477">
      <w:pPr>
        <w:rPr>
          <w:rFonts w:ascii="Times New Roman" w:hAnsi="Times New Roman" w:eastAsia="黑体"/>
          <w:sz w:val="32"/>
          <w:szCs w:val="32"/>
        </w:rPr>
      </w:pPr>
    </w:p>
    <w:p w14:paraId="42AC2849">
      <w:pPr>
        <w:rPr>
          <w:rFonts w:ascii="Times New Roman" w:hAnsi="Times New Roman" w:eastAsia="黑体"/>
          <w:sz w:val="32"/>
          <w:szCs w:val="32"/>
        </w:rPr>
      </w:pPr>
    </w:p>
    <w:p w14:paraId="4EE7BEF7">
      <w:pPr>
        <w:rPr>
          <w:rFonts w:ascii="Times New Roman" w:hAnsi="Times New Roman" w:eastAsia="黑体"/>
          <w:sz w:val="32"/>
          <w:szCs w:val="32"/>
        </w:rPr>
      </w:pPr>
    </w:p>
    <w:p w14:paraId="44BE8F1C">
      <w:pPr>
        <w:rPr>
          <w:rFonts w:ascii="Times New Roman" w:hAnsi="Times New Roman" w:eastAsia="黑体"/>
        </w:rPr>
      </w:pPr>
      <w:r>
        <w:rPr>
          <w:rFonts w:ascii="Times New Roman" w:hAnsi="Times New Roman" w:eastAsia="黑体"/>
          <w:sz w:val="32"/>
          <w:szCs w:val="32"/>
        </w:rPr>
        <w:t>附件4</w:t>
      </w:r>
    </w:p>
    <w:tbl>
      <w:tblPr>
        <w:tblStyle w:val="2"/>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45977EA3">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383FB2FB">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1B900BA4">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289EC61A">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2022</w:t>
            </w:r>
            <w:r>
              <w:rPr>
                <w:rFonts w:ascii="Times New Roman" w:hAnsi="Times New Roman"/>
                <w:color w:val="000000"/>
                <w:kern w:val="0"/>
                <w:sz w:val="22"/>
              </w:rPr>
              <w:t>年度）</w:t>
            </w:r>
          </w:p>
        </w:tc>
      </w:tr>
      <w:tr w14:paraId="790F7EDD">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3467831D">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59DD7C8B">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11E9048F">
            <w:pPr>
              <w:widowControl/>
              <w:jc w:val="center"/>
              <w:rPr>
                <w:rFonts w:ascii="Times New Roman" w:hAnsi="Times New Roman" w:eastAsia="仿宋_GB2312"/>
                <w:color w:val="000000"/>
                <w:kern w:val="0"/>
                <w:szCs w:val="21"/>
              </w:rPr>
            </w:pPr>
            <w:r>
              <w:rPr>
                <w:rFonts w:hint="eastAsia" w:ascii="Times New Roman" w:hAnsi="Times New Roman"/>
                <w:kern w:val="0"/>
                <w:szCs w:val="21"/>
                <w:lang w:val="en-US" w:eastAsia="zh-CN"/>
              </w:rPr>
              <w:t>安防工程</w:t>
            </w:r>
          </w:p>
        </w:tc>
      </w:tr>
      <w:tr w14:paraId="1B96D193">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07837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6C9E233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6EA95CE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6BA1A82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p>
        </w:tc>
      </w:tr>
      <w:tr w14:paraId="13F719F3">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4FE253C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43BF502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1A6DFDED">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221D4AB5">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14:paraId="32F5B3BA">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0E0A4255">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14:paraId="3154311B">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1D74FE5A">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6F372C9E">
            <w:pPr>
              <w:spacing w:line="240" w:lineRule="exact"/>
              <w:jc w:val="center"/>
              <w:rPr>
                <w:rFonts w:ascii="Times New Roman" w:hAnsi="Times New Roman" w:eastAsia="仿宋_GB2312"/>
                <w:szCs w:val="21"/>
              </w:rPr>
            </w:pPr>
          </w:p>
          <w:p w14:paraId="2EAD0E81">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4039D9C8">
            <w:pPr>
              <w:spacing w:line="240" w:lineRule="exact"/>
              <w:jc w:val="center"/>
              <w:rPr>
                <w:rFonts w:ascii="Times New Roman" w:hAnsi="Times New Roman" w:eastAsia="仿宋_GB2312"/>
                <w:szCs w:val="21"/>
              </w:rPr>
            </w:pPr>
          </w:p>
          <w:p w14:paraId="718C48A5">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7D963D5B">
            <w:pPr>
              <w:spacing w:line="240" w:lineRule="exact"/>
              <w:jc w:val="center"/>
              <w:rPr>
                <w:rFonts w:ascii="Times New Roman" w:hAnsi="Times New Roman" w:eastAsia="仿宋_GB2312"/>
                <w:szCs w:val="21"/>
              </w:rPr>
            </w:pPr>
          </w:p>
          <w:p w14:paraId="253E3EF8">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386EAB98">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B8F2EA9">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A9846C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4648C57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3E4BA248">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23749DEC">
            <w:pPr>
              <w:widowControl/>
              <w:jc w:val="left"/>
              <w:rPr>
                <w:rFonts w:hint="default" w:ascii="Times New Roman" w:hAnsi="Times New Roman" w:eastAsia="仿宋_GB2312"/>
                <w:color w:val="000000"/>
                <w:kern w:val="0"/>
                <w:szCs w:val="21"/>
                <w:lang w:val="en-US"/>
              </w:rPr>
            </w:pPr>
            <w:r>
              <w:rPr>
                <w:rFonts w:hint="eastAsia" w:ascii="Times New Roman" w:hAnsi="Times New Roman"/>
                <w:kern w:val="0"/>
                <w:szCs w:val="21"/>
                <w:lang w:val="en-US" w:eastAsia="zh-CN"/>
              </w:rPr>
              <w:t>23</w:t>
            </w:r>
          </w:p>
        </w:tc>
        <w:tc>
          <w:tcPr>
            <w:tcW w:w="993" w:type="dxa"/>
            <w:tcBorders>
              <w:top w:val="nil"/>
              <w:left w:val="nil"/>
              <w:bottom w:val="single" w:color="auto" w:sz="4" w:space="0"/>
              <w:right w:val="single" w:color="auto" w:sz="4" w:space="0"/>
            </w:tcBorders>
            <w:shd w:val="clear" w:color="auto" w:fill="auto"/>
            <w:noWrap/>
            <w:vAlign w:val="center"/>
          </w:tcPr>
          <w:p w14:paraId="5EE67FE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14:paraId="2981A8F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4AD2518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D42BA9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3334932A">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731BF9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12B2717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747C45F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0C99104B">
            <w:pPr>
              <w:widowControl/>
              <w:jc w:val="left"/>
              <w:rPr>
                <w:rFonts w:hint="default" w:ascii="Times New Roman" w:hAnsi="Times New Roman" w:eastAsia="仿宋_GB2312"/>
                <w:color w:val="000000"/>
                <w:kern w:val="0"/>
                <w:szCs w:val="21"/>
                <w:lang w:val="en-US"/>
              </w:rPr>
            </w:pPr>
            <w:r>
              <w:rPr>
                <w:rFonts w:hint="eastAsia" w:ascii="Times New Roman" w:hAnsi="Times New Roman"/>
                <w:kern w:val="0"/>
                <w:szCs w:val="21"/>
                <w:lang w:val="en-US" w:eastAsia="zh-CN"/>
              </w:rPr>
              <w:t>6.71</w:t>
            </w:r>
          </w:p>
        </w:tc>
        <w:tc>
          <w:tcPr>
            <w:tcW w:w="993" w:type="dxa"/>
            <w:tcBorders>
              <w:top w:val="nil"/>
              <w:left w:val="nil"/>
              <w:bottom w:val="single" w:color="auto" w:sz="4" w:space="0"/>
              <w:right w:val="single" w:color="auto" w:sz="4" w:space="0"/>
            </w:tcBorders>
            <w:shd w:val="clear" w:color="auto" w:fill="auto"/>
            <w:noWrap/>
            <w:vAlign w:val="center"/>
          </w:tcPr>
          <w:p w14:paraId="684F7A2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2EFB1C6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6F57F92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433DE10">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FDEBE5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1729F643">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2942E96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45BFF7D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6E65273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6DBF08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0825E47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3279CF5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4395ADD">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CA53A8A">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F57ABFC">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275EE56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78C2589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2B545602">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16.29</w:t>
            </w:r>
          </w:p>
        </w:tc>
        <w:tc>
          <w:tcPr>
            <w:tcW w:w="993" w:type="dxa"/>
            <w:tcBorders>
              <w:top w:val="nil"/>
              <w:left w:val="nil"/>
              <w:bottom w:val="single" w:color="auto" w:sz="4" w:space="0"/>
              <w:right w:val="single" w:color="auto" w:sz="4" w:space="0"/>
            </w:tcBorders>
            <w:shd w:val="clear" w:color="auto" w:fill="auto"/>
            <w:noWrap/>
            <w:vAlign w:val="center"/>
          </w:tcPr>
          <w:p w14:paraId="14255E9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3B00C93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3B44C54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588AD72">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05ABCE0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3791183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3B7172E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421844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7C9E4801">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576F91DA">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791E5967">
            <w:pPr>
              <w:spacing w:line="280" w:lineRule="exact"/>
              <w:jc w:val="center"/>
              <w:rPr>
                <w:rFonts w:ascii="Times New Roman" w:hAnsi="Times New Roman" w:eastAsia="仿宋_GB2312" w:cs="Times New Roman"/>
                <w:color w:val="000000"/>
                <w:kern w:val="2"/>
                <w:sz w:val="21"/>
                <w:szCs w:val="21"/>
                <w:lang w:val="en-US" w:eastAsia="zh-CN" w:bidi="ar-SA"/>
              </w:rPr>
            </w:pPr>
            <w:r>
              <w:rPr>
                <w:rFonts w:hint="eastAsia" w:ascii="宋体" w:hAnsi="宋体" w:cs="宋体"/>
                <w:kern w:val="0"/>
                <w:sz w:val="20"/>
                <w:szCs w:val="20"/>
              </w:rPr>
              <w:t>全面完成年度</w:t>
            </w:r>
            <w:r>
              <w:rPr>
                <w:rFonts w:hint="eastAsia" w:ascii="宋体" w:hAnsi="宋体" w:cs="宋体"/>
                <w:kern w:val="0"/>
                <w:sz w:val="20"/>
                <w:szCs w:val="20"/>
                <w:lang w:val="en-US" w:eastAsia="zh-CN"/>
              </w:rPr>
              <w:t>安防工程</w:t>
            </w:r>
            <w:r>
              <w:rPr>
                <w:rFonts w:hint="eastAsia" w:ascii="宋体" w:hAnsi="宋体" w:cs="宋体"/>
                <w:kern w:val="0"/>
                <w:sz w:val="20"/>
                <w:szCs w:val="20"/>
              </w:rPr>
              <w:t>任务，工程质量合格率达100%</w:t>
            </w:r>
            <w:r>
              <w:rPr>
                <w:rFonts w:ascii="Times New Roman" w:hAnsi="Times New Roman" w:eastAsia="仿宋_GB2312"/>
                <w:color w:val="000000"/>
                <w:szCs w:val="21"/>
              </w:rPr>
              <w:t>　　</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16ABD4B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cs="宋体"/>
                <w:kern w:val="0"/>
                <w:sz w:val="20"/>
                <w:szCs w:val="20"/>
              </w:rPr>
              <w:t>完成年度</w:t>
            </w:r>
            <w:r>
              <w:rPr>
                <w:rFonts w:hint="eastAsia" w:ascii="宋体" w:hAnsi="宋体" w:cs="宋体"/>
                <w:kern w:val="0"/>
                <w:sz w:val="20"/>
                <w:szCs w:val="20"/>
                <w:lang w:val="en-US" w:eastAsia="zh-CN"/>
              </w:rPr>
              <w:t>安防工程</w:t>
            </w:r>
            <w:r>
              <w:rPr>
                <w:rFonts w:hint="eastAsia" w:ascii="宋体" w:hAnsi="宋体" w:cs="宋体"/>
                <w:kern w:val="0"/>
                <w:sz w:val="20"/>
                <w:szCs w:val="20"/>
              </w:rPr>
              <w:t>任务，工程质量合格率达100%</w:t>
            </w:r>
          </w:p>
        </w:tc>
      </w:tr>
      <w:tr w14:paraId="2F9F7614">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79B341E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69969E8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2912175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396DB00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3C4DFD7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7C42176">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DF5E8C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585A6B6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3719AA89">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89E11C8">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16B3F55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0B769F9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68C9BA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9D1325A">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744DA35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0EEDD10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73593FFA">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97E5433">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415F478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03A730C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1DE3D744">
            <w:pPr>
              <w:widowControl/>
              <w:jc w:val="center"/>
              <w:rPr>
                <w:rFonts w:ascii="Times New Roman" w:hAnsi="Times New Roman" w:eastAsia="仿宋_GB2312"/>
                <w:color w:val="000000"/>
                <w:kern w:val="0"/>
                <w:szCs w:val="21"/>
              </w:rPr>
            </w:pPr>
          </w:p>
          <w:p w14:paraId="570B07D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73D40D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ADED736">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完成投资、 国 省 道大中修指标</w:t>
            </w:r>
          </w:p>
          <w:p w14:paraId="0C8B31E4">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6B8334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覆 盖 率 达 到 </w:t>
            </w:r>
          </w:p>
          <w:p w14:paraId="2A62F05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100%</w:t>
            </w:r>
          </w:p>
          <w:p w14:paraId="416ED25A">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4323FE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00780CE">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0454A5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D4267F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34E11D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8CB895D">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0B3833A8">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FA9F2B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41B8D5B">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国 省 道路 </w:t>
            </w:r>
          </w:p>
          <w:p w14:paraId="5C07A61B">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面 使 用性 </w:t>
            </w:r>
          </w:p>
          <w:p w14:paraId="2B3875A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能指数、工 </w:t>
            </w:r>
          </w:p>
          <w:p w14:paraId="1803D89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程监督抽 </w:t>
            </w:r>
          </w:p>
          <w:p w14:paraId="4E2E95B5">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检覆盖率</w:t>
            </w:r>
          </w:p>
          <w:p w14:paraId="15421EE5">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071D4C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p w14:paraId="67E04D80">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744D789">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9C72A51">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1800086E">
            <w:pPr>
              <w:spacing w:line="280" w:lineRule="exact"/>
              <w:rPr>
                <w:rFonts w:hint="default" w:ascii="Times New Roman" w:hAnsi="Times New Roman" w:eastAsia="仿宋_GB2312" w:cs="Times New Roman"/>
                <w:color w:val="000000"/>
                <w:kern w:val="2"/>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22137E51">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61278DE7">
            <w:pPr>
              <w:spacing w:line="280" w:lineRule="exact"/>
              <w:rPr>
                <w:rFonts w:hint="default" w:ascii="Times New Roman" w:hAnsi="Times New Roman" w:eastAsia="仿宋_GB2312" w:cs="Times New Roman"/>
                <w:color w:val="000000"/>
                <w:kern w:val="2"/>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A80131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90193F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38E78E4">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87AAB5D">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3627EF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B82C36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政 府 下达 </w:t>
            </w:r>
          </w:p>
          <w:p w14:paraId="656C0CF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重 点 工  按期完成</w:t>
            </w:r>
          </w:p>
          <w:p w14:paraId="4315F2FE">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48413C61">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DAA541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1ABEF739">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7964A2AC">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00BA91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62DD323">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FC5B906">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BC600B2">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2C43F45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843EE9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国省道大中 修补助标准、农村公路改善提升工程，补助标准，不超 过任务下达的预期成本</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2A0F3B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支出控制在预算内</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65619986">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所有</w:t>
            </w:r>
            <w:r>
              <w:rPr>
                <w:rFonts w:hint="eastAsia" w:ascii="宋体" w:hAnsi="宋体" w:eastAsia="宋体" w:cs="宋体"/>
                <w:color w:val="000000"/>
                <w:kern w:val="0"/>
                <w:sz w:val="19"/>
                <w:szCs w:val="19"/>
                <w:lang w:val="en-US" w:eastAsia="zh-CN"/>
              </w:rPr>
              <w:t>支出控制在预算内</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8A849FE">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2E6DB8F">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655E044">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6AE9AAC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C524F1D">
            <w:pPr>
              <w:jc w:val="center"/>
              <w:rPr>
                <w:rFonts w:ascii="Times New Roman" w:hAnsi="Times New Roman" w:eastAsia="仿宋_GB2312"/>
                <w:color w:val="000000"/>
                <w:kern w:val="0"/>
                <w:szCs w:val="21"/>
              </w:rPr>
            </w:pP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2A1579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7B4FCDF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2B4A3106">
            <w:pPr>
              <w:widowControl/>
              <w:jc w:val="left"/>
              <w:rPr>
                <w:rFonts w:ascii="Times New Roman" w:hAnsi="Times New Roman" w:eastAsia="仿宋_GB2312"/>
                <w:color w:val="000000"/>
                <w:kern w:val="0"/>
                <w:szCs w:val="21"/>
              </w:rPr>
            </w:pPr>
          </w:p>
          <w:p w14:paraId="0AB50FB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180C142D">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E76DE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299D8E8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24C82A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各项交通建设项目在工程建设、后期养护中为道路沿线及运输站场附近的群众提供的直接收入</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AE75B12">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20D500FF">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5D323C0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046F394">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3352BB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3F8E65E">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D8F14BB">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CB8C419">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9C09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1F4F3D6A">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7B51A2A">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构建外畅内联、结构合理、安全高效公路网</w:t>
            </w:r>
          </w:p>
          <w:p w14:paraId="728515F8">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07709D3E">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71BB378">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7B1A7406">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33211D8">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77CC96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26F72AF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8903A3F">
            <w:pPr>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37B8477">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2C26E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040252A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BF114F">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绿色交通</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588A30">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3A612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D171D5">
            <w:pPr>
              <w:spacing w:line="280" w:lineRule="exact"/>
              <w:ind w:firstLine="210" w:firstLineChars="100"/>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718F709">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33927CF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C3057B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BCE35FD">
            <w:pPr>
              <w:widowControl/>
              <w:jc w:val="center"/>
              <w:rPr>
                <w:rFonts w:ascii="Times New Roman" w:hAnsi="Times New Roman" w:eastAsia="仿宋_GB2312"/>
                <w:color w:val="000000"/>
                <w:kern w:val="0"/>
                <w:szCs w:val="21"/>
              </w:rPr>
            </w:pPr>
          </w:p>
        </w:tc>
        <w:tc>
          <w:tcPr>
            <w:tcW w:w="99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3B6EADD">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AC8DFE">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A9B26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长期对公路养护</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7BAFE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690F9">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339E39">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 xml:space="preserve">  7.5</w:t>
            </w:r>
            <w:r>
              <w:rPr>
                <w:rFonts w:ascii="Times New Roman" w:hAnsi="Times New Roman" w:eastAsia="仿宋_GB2312"/>
                <w:color w:val="000000"/>
                <w:szCs w:val="21"/>
              </w:rPr>
              <w:t>　</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635E41">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BF40C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06503A9">
        <w:tblPrEx>
          <w:tblCellMar>
            <w:top w:w="0" w:type="dxa"/>
            <w:left w:w="108" w:type="dxa"/>
            <w:bottom w:w="0" w:type="dxa"/>
            <w:right w:w="108" w:type="dxa"/>
          </w:tblCellMar>
        </w:tblPrEx>
        <w:trPr>
          <w:trHeight w:val="440" w:hRule="atLeast"/>
          <w:jc w:val="center"/>
        </w:trPr>
        <w:tc>
          <w:tcPr>
            <w:tcW w:w="1135" w:type="dxa"/>
            <w:vMerge w:val="continue"/>
            <w:tcBorders>
              <w:left w:val="single" w:color="auto" w:sz="4" w:space="0"/>
              <w:right w:val="single" w:color="auto" w:sz="4" w:space="0"/>
            </w:tcBorders>
            <w:shd w:val="clear" w:color="auto" w:fill="auto"/>
            <w:noWrap/>
            <w:vAlign w:val="center"/>
          </w:tcPr>
          <w:p w14:paraId="0B98C9B8">
            <w:pPr>
              <w:jc w:val="left"/>
              <w:rPr>
                <w:rFonts w:ascii="Times New Roman" w:hAnsi="Times New Roman" w:eastAsia="仿宋_GB2312"/>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601A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4A4303D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F5A2DA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19E77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64A0728A">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公众满意度</w:t>
            </w:r>
          </w:p>
        </w:tc>
        <w:tc>
          <w:tcPr>
            <w:tcW w:w="1230" w:type="dxa"/>
            <w:tcBorders>
              <w:top w:val="nil"/>
              <w:left w:val="nil"/>
              <w:bottom w:val="single" w:color="auto" w:sz="4" w:space="0"/>
              <w:right w:val="single" w:color="auto" w:sz="4" w:space="0"/>
            </w:tcBorders>
            <w:shd w:val="clear" w:color="auto" w:fill="auto"/>
            <w:noWrap/>
            <w:vAlign w:val="center"/>
          </w:tcPr>
          <w:p w14:paraId="4146CEB3">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达到95%以上</w:t>
            </w:r>
          </w:p>
        </w:tc>
        <w:tc>
          <w:tcPr>
            <w:tcW w:w="1107" w:type="dxa"/>
            <w:tcBorders>
              <w:top w:val="nil"/>
              <w:left w:val="nil"/>
              <w:bottom w:val="single" w:color="auto" w:sz="4" w:space="0"/>
              <w:right w:val="single" w:color="auto" w:sz="4" w:space="0"/>
            </w:tcBorders>
            <w:shd w:val="clear" w:color="auto" w:fill="auto"/>
            <w:noWrap/>
            <w:vAlign w:val="center"/>
          </w:tcPr>
          <w:p w14:paraId="785B5B5B">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98%</w:t>
            </w:r>
          </w:p>
        </w:tc>
        <w:tc>
          <w:tcPr>
            <w:tcW w:w="993" w:type="dxa"/>
            <w:tcBorders>
              <w:top w:val="nil"/>
              <w:left w:val="nil"/>
              <w:bottom w:val="single" w:color="auto" w:sz="4" w:space="0"/>
              <w:right w:val="single" w:color="auto" w:sz="4" w:space="0"/>
            </w:tcBorders>
            <w:shd w:val="clear" w:color="auto" w:fill="auto"/>
            <w:noWrap/>
            <w:vAlign w:val="center"/>
          </w:tcPr>
          <w:p w14:paraId="7A8F3A8F">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855" w:type="dxa"/>
            <w:tcBorders>
              <w:top w:val="nil"/>
              <w:left w:val="nil"/>
              <w:bottom w:val="single" w:color="auto" w:sz="4" w:space="0"/>
              <w:right w:val="single" w:color="auto" w:sz="4" w:space="0"/>
            </w:tcBorders>
            <w:shd w:val="clear" w:color="auto" w:fill="auto"/>
            <w:noWrap/>
            <w:vAlign w:val="center"/>
          </w:tcPr>
          <w:p w14:paraId="2D7F7F57">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1271" w:type="dxa"/>
            <w:tcBorders>
              <w:top w:val="nil"/>
              <w:left w:val="nil"/>
              <w:bottom w:val="single" w:color="auto" w:sz="4" w:space="0"/>
              <w:right w:val="single" w:color="auto" w:sz="4" w:space="0"/>
            </w:tcBorders>
            <w:shd w:val="clear" w:color="auto" w:fill="auto"/>
            <w:noWrap/>
            <w:vAlign w:val="center"/>
          </w:tcPr>
          <w:p w14:paraId="53834FC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A9F0F64">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5C9F948C">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213684C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2A8D4EDC">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17CB1FA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78223DF4">
      <w:pPr>
        <w:rPr>
          <w:rFonts w:ascii="Times New Roman" w:hAnsi="Times New Roman" w:eastAsia="黑体"/>
          <w:sz w:val="32"/>
          <w:szCs w:val="32"/>
        </w:rPr>
      </w:pPr>
    </w:p>
    <w:p w14:paraId="245C383D">
      <w:pPr>
        <w:rPr>
          <w:rFonts w:ascii="Times New Roman" w:hAnsi="Times New Roman" w:eastAsia="黑体"/>
          <w:sz w:val="32"/>
          <w:szCs w:val="32"/>
        </w:rPr>
      </w:pPr>
    </w:p>
    <w:p w14:paraId="379AE50F">
      <w:pPr>
        <w:rPr>
          <w:rFonts w:ascii="Times New Roman" w:hAnsi="Times New Roman" w:eastAsia="黑体"/>
          <w:sz w:val="32"/>
          <w:szCs w:val="32"/>
        </w:rPr>
      </w:pPr>
    </w:p>
    <w:p w14:paraId="7C0FF18C">
      <w:pPr>
        <w:rPr>
          <w:rFonts w:ascii="Times New Roman" w:hAnsi="Times New Roman" w:eastAsia="黑体"/>
          <w:sz w:val="32"/>
          <w:szCs w:val="32"/>
        </w:rPr>
      </w:pPr>
    </w:p>
    <w:p w14:paraId="0B716289">
      <w:pPr>
        <w:rPr>
          <w:rFonts w:ascii="Times New Roman" w:hAnsi="Times New Roman" w:eastAsia="黑体"/>
          <w:sz w:val="32"/>
          <w:szCs w:val="32"/>
        </w:rPr>
      </w:pPr>
    </w:p>
    <w:p w14:paraId="61ACAD3A">
      <w:pPr>
        <w:rPr>
          <w:rFonts w:ascii="Times New Roman" w:hAnsi="Times New Roman" w:eastAsia="黑体"/>
          <w:sz w:val="32"/>
          <w:szCs w:val="32"/>
        </w:rPr>
      </w:pPr>
    </w:p>
    <w:p w14:paraId="3FDA6402">
      <w:pPr>
        <w:rPr>
          <w:rFonts w:ascii="Times New Roman" w:hAnsi="Times New Roman" w:eastAsia="黑体"/>
          <w:sz w:val="32"/>
          <w:szCs w:val="32"/>
        </w:rPr>
      </w:pPr>
    </w:p>
    <w:p w14:paraId="1F940EAD">
      <w:pPr>
        <w:rPr>
          <w:rFonts w:ascii="Times New Roman" w:hAnsi="Times New Roman" w:eastAsia="黑体"/>
          <w:sz w:val="32"/>
          <w:szCs w:val="32"/>
        </w:rPr>
      </w:pPr>
    </w:p>
    <w:p w14:paraId="3A1082BB">
      <w:pPr>
        <w:rPr>
          <w:rFonts w:ascii="Times New Roman" w:hAnsi="Times New Roman" w:eastAsia="黑体"/>
          <w:sz w:val="32"/>
          <w:szCs w:val="32"/>
        </w:rPr>
      </w:pPr>
    </w:p>
    <w:p w14:paraId="5F69BEB7">
      <w:pPr>
        <w:rPr>
          <w:rFonts w:ascii="Times New Roman" w:hAnsi="Times New Roman" w:eastAsia="黑体"/>
          <w:sz w:val="32"/>
          <w:szCs w:val="32"/>
        </w:rPr>
      </w:pPr>
    </w:p>
    <w:p w14:paraId="70649BDB">
      <w:pPr>
        <w:rPr>
          <w:rFonts w:ascii="Times New Roman" w:hAnsi="Times New Roman" w:eastAsia="黑体"/>
        </w:rPr>
      </w:pPr>
      <w:r>
        <w:rPr>
          <w:rFonts w:ascii="Times New Roman" w:hAnsi="Times New Roman" w:eastAsia="黑体"/>
          <w:sz w:val="32"/>
          <w:szCs w:val="32"/>
        </w:rPr>
        <w:t>附件4</w:t>
      </w:r>
    </w:p>
    <w:tbl>
      <w:tblPr>
        <w:tblStyle w:val="2"/>
        <w:tblW w:w="9999" w:type="dxa"/>
        <w:jc w:val="center"/>
        <w:tblLayout w:type="autofit"/>
        <w:tblCellMar>
          <w:top w:w="0" w:type="dxa"/>
          <w:left w:w="108" w:type="dxa"/>
          <w:bottom w:w="0" w:type="dxa"/>
          <w:right w:w="108" w:type="dxa"/>
        </w:tblCellMar>
      </w:tblPr>
      <w:tblGrid>
        <w:gridCol w:w="1135"/>
        <w:gridCol w:w="992"/>
        <w:gridCol w:w="1261"/>
        <w:gridCol w:w="1155"/>
        <w:gridCol w:w="1230"/>
        <w:gridCol w:w="1107"/>
        <w:gridCol w:w="993"/>
        <w:gridCol w:w="855"/>
        <w:gridCol w:w="1271"/>
      </w:tblGrid>
      <w:tr w14:paraId="0148F3A8">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shd w:val="clear" w:color="auto" w:fill="auto"/>
            <w:noWrap/>
            <w:vAlign w:val="center"/>
          </w:tcPr>
          <w:p w14:paraId="449353F7">
            <w:pPr>
              <w:widowControl/>
              <w:jc w:val="center"/>
              <w:rPr>
                <w:rFonts w:ascii="Times New Roman" w:hAnsi="Times New Roman"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65B7C714">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shd w:val="clear" w:color="auto" w:fill="auto"/>
            <w:noWrap/>
            <w:vAlign w:val="center"/>
          </w:tcPr>
          <w:p w14:paraId="076BD4CE">
            <w:pPr>
              <w:widowControl/>
              <w:rPr>
                <w:rFonts w:ascii="Times New Roman" w:hAnsi="Times New Roman"/>
                <w:color w:val="000000"/>
                <w:kern w:val="0"/>
                <w:sz w:val="22"/>
              </w:rPr>
            </w:pPr>
            <w:r>
              <w:rPr>
                <w:rFonts w:ascii="Times New Roman" w:hAnsi="Times New Roman"/>
                <w:color w:val="000000"/>
                <w:kern w:val="0"/>
                <w:sz w:val="22"/>
              </w:rPr>
              <w:t xml:space="preserve"> 填报单位：</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r>
              <w:rPr>
                <w:rFonts w:hint="eastAsia" w:ascii="Times New Roman" w:hAnsi="Times New Roman"/>
                <w:color w:val="000000"/>
                <w:kern w:val="0"/>
                <w:sz w:val="22"/>
              </w:rPr>
              <w:t xml:space="preserve">                </w:t>
            </w:r>
            <w:r>
              <w:rPr>
                <w:rFonts w:ascii="Times New Roman" w:hAnsi="Times New Roman"/>
                <w:color w:val="000000"/>
                <w:kern w:val="0"/>
                <w:sz w:val="22"/>
              </w:rPr>
              <w:t>（</w:t>
            </w:r>
            <w:r>
              <w:rPr>
                <w:rFonts w:hint="eastAsia" w:ascii="Times New Roman" w:hAnsi="Times New Roman"/>
                <w:color w:val="000000"/>
                <w:kern w:val="0"/>
                <w:sz w:val="22"/>
              </w:rPr>
              <w:t>2022</w:t>
            </w:r>
            <w:r>
              <w:rPr>
                <w:rFonts w:ascii="Times New Roman" w:hAnsi="Times New Roman"/>
                <w:color w:val="000000"/>
                <w:kern w:val="0"/>
                <w:sz w:val="22"/>
              </w:rPr>
              <w:t>年度）</w:t>
            </w:r>
          </w:p>
        </w:tc>
      </w:tr>
      <w:tr w14:paraId="3D97971A">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556C1A36">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项目支</w:t>
            </w:r>
          </w:p>
          <w:p w14:paraId="4C8474C7">
            <w:pPr>
              <w:widowControl/>
              <w:spacing w:line="26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shd w:val="clear" w:color="auto" w:fill="auto"/>
            <w:noWrap/>
            <w:vAlign w:val="center"/>
          </w:tcPr>
          <w:p w14:paraId="66E79F59">
            <w:pPr>
              <w:widowControl/>
              <w:jc w:val="center"/>
              <w:rPr>
                <w:rFonts w:ascii="Times New Roman" w:hAnsi="Times New Roman" w:eastAsia="仿宋_GB2312"/>
                <w:color w:val="000000"/>
                <w:kern w:val="0"/>
                <w:szCs w:val="21"/>
              </w:rPr>
            </w:pPr>
            <w:r>
              <w:rPr>
                <w:rFonts w:hint="eastAsia" w:ascii="Times New Roman" w:hAnsi="Times New Roman"/>
                <w:kern w:val="0"/>
                <w:szCs w:val="21"/>
                <w:lang w:val="en-US" w:eastAsia="zh-CN"/>
              </w:rPr>
              <w:t xml:space="preserve"> G107号</w:t>
            </w:r>
            <w:r>
              <w:rPr>
                <w:rFonts w:ascii="Times New Roman" w:hAnsi="Times New Roman" w:eastAsia="仿宋_GB2312"/>
                <w:color w:val="000000"/>
                <w:kern w:val="0"/>
                <w:szCs w:val="21"/>
              </w:rPr>
              <w:t>　</w:t>
            </w:r>
          </w:p>
        </w:tc>
      </w:tr>
      <w:tr w14:paraId="478B0FE9">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004174C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主管部门</w:t>
            </w:r>
          </w:p>
        </w:tc>
        <w:tc>
          <w:tcPr>
            <w:tcW w:w="4638" w:type="dxa"/>
            <w:gridSpan w:val="4"/>
            <w:tcBorders>
              <w:top w:val="single" w:color="auto" w:sz="4" w:space="0"/>
              <w:left w:val="nil"/>
              <w:bottom w:val="single" w:color="auto" w:sz="4" w:space="0"/>
              <w:right w:val="single" w:color="auto" w:sz="4" w:space="0"/>
            </w:tcBorders>
            <w:shd w:val="clear" w:color="auto" w:fill="auto"/>
            <w:noWrap/>
            <w:vAlign w:val="center"/>
          </w:tcPr>
          <w:p w14:paraId="3CAAE68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w:t>
            </w:r>
          </w:p>
        </w:tc>
        <w:tc>
          <w:tcPr>
            <w:tcW w:w="1107" w:type="dxa"/>
            <w:tcBorders>
              <w:top w:val="single" w:color="auto" w:sz="4" w:space="0"/>
              <w:left w:val="nil"/>
              <w:bottom w:val="single" w:color="auto" w:sz="4" w:space="0"/>
              <w:right w:val="single" w:color="000000" w:sz="4" w:space="0"/>
            </w:tcBorders>
            <w:shd w:val="clear" w:color="auto" w:fill="auto"/>
            <w:noWrap/>
            <w:vAlign w:val="center"/>
          </w:tcPr>
          <w:p w14:paraId="5CADD8F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shd w:val="clear" w:color="auto" w:fill="auto"/>
            <w:noWrap/>
            <w:vAlign w:val="center"/>
          </w:tcPr>
          <w:p w14:paraId="25B90A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rPr>
              <w:t>衡阳市公路建设养护中心石鼓分中心</w:t>
            </w:r>
            <w:r>
              <w:rPr>
                <w:rFonts w:ascii="Times New Roman" w:hAnsi="Times New Roman"/>
                <w:color w:val="000000"/>
                <w:kern w:val="0"/>
                <w:sz w:val="22"/>
              </w:rPr>
              <w:t xml:space="preserve"> </w:t>
            </w:r>
          </w:p>
        </w:tc>
      </w:tr>
      <w:tr w14:paraId="241F1280">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09C7623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项目资金</w:t>
            </w:r>
            <w:r>
              <w:rPr>
                <w:rFonts w:ascii="Times New Roman" w:hAnsi="Times New Roman" w:eastAsia="仿宋_GB2312"/>
                <w:color w:val="000000"/>
                <w:kern w:val="0"/>
                <w:szCs w:val="21"/>
              </w:rPr>
              <w:br w:type="textWrapping"/>
            </w:r>
            <w:r>
              <w:rPr>
                <w:rFonts w:ascii="Times New Roman" w:hAnsi="Times New Roman"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7D02039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3EFE6AC3">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年初</w:t>
            </w:r>
          </w:p>
          <w:p w14:paraId="01C02CB7">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230" w:type="dxa"/>
            <w:tcBorders>
              <w:top w:val="nil"/>
              <w:left w:val="nil"/>
              <w:bottom w:val="single" w:color="auto" w:sz="4" w:space="0"/>
              <w:right w:val="single" w:color="auto" w:sz="4" w:space="0"/>
            </w:tcBorders>
            <w:shd w:val="clear" w:color="auto" w:fill="auto"/>
            <w:noWrap/>
            <w:vAlign w:val="center"/>
          </w:tcPr>
          <w:p w14:paraId="7FA0307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全年</w:t>
            </w:r>
          </w:p>
          <w:p w14:paraId="5407BB56">
            <w:pPr>
              <w:widowControl/>
              <w:spacing w:line="240" w:lineRule="exact"/>
              <w:ind w:firstLine="210" w:firstLineChars="100"/>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预算数</w:t>
            </w:r>
          </w:p>
        </w:tc>
        <w:tc>
          <w:tcPr>
            <w:tcW w:w="1107" w:type="dxa"/>
            <w:tcBorders>
              <w:top w:val="nil"/>
              <w:left w:val="nil"/>
              <w:bottom w:val="single" w:color="auto" w:sz="4" w:space="0"/>
              <w:right w:val="single" w:color="auto" w:sz="4" w:space="0"/>
            </w:tcBorders>
            <w:shd w:val="clear" w:color="auto" w:fill="auto"/>
            <w:noWrap/>
          </w:tcPr>
          <w:p w14:paraId="734DB1E5">
            <w:pPr>
              <w:spacing w:line="240" w:lineRule="exact"/>
              <w:jc w:val="center"/>
              <w:rPr>
                <w:rFonts w:ascii="Times New Roman" w:hAnsi="Times New Roman" w:eastAsia="仿宋_GB2312"/>
                <w:szCs w:val="21"/>
              </w:rPr>
            </w:pPr>
            <w:r>
              <w:rPr>
                <w:rFonts w:ascii="Times New Roman" w:hAnsi="Times New Roman" w:eastAsia="仿宋_GB2312"/>
                <w:szCs w:val="21"/>
              </w:rPr>
              <w:t>全年</w:t>
            </w:r>
          </w:p>
          <w:p w14:paraId="06977858">
            <w:pPr>
              <w:spacing w:line="240" w:lineRule="exact"/>
              <w:jc w:val="center"/>
              <w:rPr>
                <w:rFonts w:ascii="Times New Roman" w:hAnsi="Times New Roman" w:eastAsia="仿宋_GB2312"/>
                <w:szCs w:val="21"/>
              </w:rPr>
            </w:pPr>
            <w:r>
              <w:rPr>
                <w:rFonts w:ascii="Times New Roman" w:hAnsi="Times New Roman" w:eastAsia="仿宋_GB2312"/>
                <w:szCs w:val="21"/>
              </w:rPr>
              <w:t>执行数</w:t>
            </w:r>
          </w:p>
        </w:tc>
        <w:tc>
          <w:tcPr>
            <w:tcW w:w="993" w:type="dxa"/>
            <w:tcBorders>
              <w:top w:val="nil"/>
              <w:left w:val="nil"/>
              <w:bottom w:val="single" w:color="auto" w:sz="4" w:space="0"/>
              <w:right w:val="single" w:color="auto" w:sz="4" w:space="0"/>
            </w:tcBorders>
            <w:shd w:val="clear" w:color="auto" w:fill="auto"/>
            <w:noWrap/>
          </w:tcPr>
          <w:p w14:paraId="160106D3">
            <w:pPr>
              <w:spacing w:line="240" w:lineRule="exact"/>
              <w:jc w:val="center"/>
              <w:rPr>
                <w:rFonts w:ascii="Times New Roman" w:hAnsi="Times New Roman" w:eastAsia="仿宋_GB2312"/>
                <w:szCs w:val="21"/>
              </w:rPr>
            </w:pPr>
          </w:p>
          <w:p w14:paraId="43873EE2">
            <w:pPr>
              <w:spacing w:line="240" w:lineRule="exact"/>
              <w:jc w:val="center"/>
              <w:rPr>
                <w:rFonts w:ascii="Times New Roman" w:hAnsi="Times New Roman" w:eastAsia="仿宋_GB2312"/>
                <w:szCs w:val="21"/>
              </w:rPr>
            </w:pPr>
            <w:r>
              <w:rPr>
                <w:rFonts w:ascii="Times New Roman" w:hAnsi="Times New Roman" w:eastAsia="仿宋_GB2312"/>
                <w:szCs w:val="21"/>
              </w:rPr>
              <w:t>分值</w:t>
            </w:r>
          </w:p>
        </w:tc>
        <w:tc>
          <w:tcPr>
            <w:tcW w:w="855" w:type="dxa"/>
            <w:tcBorders>
              <w:top w:val="nil"/>
              <w:left w:val="nil"/>
              <w:bottom w:val="single" w:color="auto" w:sz="4" w:space="0"/>
              <w:right w:val="single" w:color="auto" w:sz="4" w:space="0"/>
            </w:tcBorders>
            <w:shd w:val="clear" w:color="auto" w:fill="auto"/>
            <w:noWrap/>
          </w:tcPr>
          <w:p w14:paraId="08D44569">
            <w:pPr>
              <w:spacing w:line="240" w:lineRule="exact"/>
              <w:jc w:val="center"/>
              <w:rPr>
                <w:rFonts w:ascii="Times New Roman" w:hAnsi="Times New Roman" w:eastAsia="仿宋_GB2312"/>
                <w:szCs w:val="21"/>
              </w:rPr>
            </w:pPr>
          </w:p>
          <w:p w14:paraId="50167955">
            <w:pPr>
              <w:spacing w:line="240" w:lineRule="exact"/>
              <w:jc w:val="center"/>
              <w:rPr>
                <w:rFonts w:ascii="Times New Roman" w:hAnsi="Times New Roman" w:eastAsia="仿宋_GB2312"/>
                <w:szCs w:val="21"/>
              </w:rPr>
            </w:pPr>
            <w:r>
              <w:rPr>
                <w:rFonts w:ascii="Times New Roman" w:hAnsi="Times New Roman"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2DE425FA">
            <w:pPr>
              <w:spacing w:line="240" w:lineRule="exact"/>
              <w:jc w:val="center"/>
              <w:rPr>
                <w:rFonts w:ascii="Times New Roman" w:hAnsi="Times New Roman" w:eastAsia="仿宋_GB2312"/>
                <w:szCs w:val="21"/>
              </w:rPr>
            </w:pPr>
          </w:p>
          <w:p w14:paraId="25D9D589">
            <w:pPr>
              <w:spacing w:line="240" w:lineRule="exact"/>
              <w:jc w:val="center"/>
              <w:rPr>
                <w:rFonts w:ascii="Times New Roman" w:hAnsi="Times New Roman" w:eastAsia="仿宋_GB2312"/>
                <w:szCs w:val="21"/>
              </w:rPr>
            </w:pPr>
            <w:r>
              <w:rPr>
                <w:rFonts w:ascii="Times New Roman" w:hAnsi="Times New Roman" w:eastAsia="仿宋_GB2312"/>
                <w:szCs w:val="21"/>
              </w:rPr>
              <w:t>得分</w:t>
            </w:r>
          </w:p>
        </w:tc>
      </w:tr>
      <w:tr w14:paraId="38CE448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4EE3440">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62BC25B">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74E4D50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44BF1D4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5673A8B3">
            <w:pPr>
              <w:widowControl/>
              <w:jc w:val="left"/>
              <w:rPr>
                <w:rFonts w:hint="default" w:ascii="Times New Roman" w:hAnsi="Times New Roman" w:eastAsia="仿宋_GB2312"/>
                <w:color w:val="000000"/>
                <w:kern w:val="0"/>
                <w:szCs w:val="21"/>
                <w:lang w:val="en-US"/>
              </w:rPr>
            </w:pPr>
            <w:r>
              <w:rPr>
                <w:rFonts w:hint="eastAsia" w:ascii="Times New Roman" w:hAnsi="Times New Roman"/>
                <w:kern w:val="0"/>
                <w:szCs w:val="21"/>
                <w:lang w:val="en-US" w:eastAsia="zh-CN"/>
              </w:rPr>
              <w:t>27.15</w:t>
            </w:r>
          </w:p>
        </w:tc>
        <w:tc>
          <w:tcPr>
            <w:tcW w:w="993" w:type="dxa"/>
            <w:tcBorders>
              <w:top w:val="nil"/>
              <w:left w:val="nil"/>
              <w:bottom w:val="single" w:color="auto" w:sz="4" w:space="0"/>
              <w:right w:val="single" w:color="auto" w:sz="4" w:space="0"/>
            </w:tcBorders>
            <w:shd w:val="clear" w:color="auto" w:fill="auto"/>
            <w:noWrap/>
            <w:vAlign w:val="center"/>
          </w:tcPr>
          <w:p w14:paraId="136D9C1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10</w:t>
            </w:r>
          </w:p>
        </w:tc>
        <w:tc>
          <w:tcPr>
            <w:tcW w:w="855" w:type="dxa"/>
            <w:tcBorders>
              <w:top w:val="nil"/>
              <w:left w:val="nil"/>
              <w:bottom w:val="single" w:color="auto" w:sz="4" w:space="0"/>
              <w:right w:val="single" w:color="auto" w:sz="4" w:space="0"/>
            </w:tcBorders>
            <w:shd w:val="clear" w:color="auto" w:fill="auto"/>
            <w:noWrap/>
            <w:vAlign w:val="center"/>
          </w:tcPr>
          <w:p w14:paraId="6492F1E2">
            <w:pPr>
              <w:widowControl/>
              <w:jc w:val="left"/>
              <w:rPr>
                <w:rFonts w:hint="default" w:ascii="Times New Roman" w:hAnsi="Times New Roman" w:eastAsia="仿宋_GB2312"/>
                <w:color w:val="000000"/>
                <w:kern w:val="0"/>
                <w:szCs w:val="21"/>
                <w:lang w:val="en-US" w:eastAsia="zh-CN"/>
              </w:rPr>
            </w:pP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38099FEF">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w:t>
            </w:r>
          </w:p>
        </w:tc>
      </w:tr>
      <w:tr w14:paraId="3C0ED73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40AF266">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375BB8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345C9D4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063095D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518FB349">
            <w:pPr>
              <w:widowControl/>
              <w:jc w:val="left"/>
              <w:rPr>
                <w:rFonts w:hint="default" w:ascii="Times New Roman" w:hAnsi="Times New Roman" w:eastAsia="仿宋_GB2312"/>
                <w:color w:val="000000"/>
                <w:kern w:val="0"/>
                <w:szCs w:val="21"/>
                <w:lang w:val="en-US"/>
              </w:rPr>
            </w:pPr>
            <w:r>
              <w:rPr>
                <w:rFonts w:hint="eastAsia" w:ascii="Times New Roman" w:hAnsi="Times New Roman"/>
                <w:kern w:val="0"/>
                <w:szCs w:val="21"/>
                <w:lang w:val="en-US" w:eastAsia="zh-CN"/>
              </w:rPr>
              <w:t>27.15</w:t>
            </w:r>
          </w:p>
        </w:tc>
        <w:tc>
          <w:tcPr>
            <w:tcW w:w="993" w:type="dxa"/>
            <w:tcBorders>
              <w:top w:val="nil"/>
              <w:left w:val="nil"/>
              <w:bottom w:val="single" w:color="auto" w:sz="4" w:space="0"/>
              <w:right w:val="single" w:color="auto" w:sz="4" w:space="0"/>
            </w:tcBorders>
            <w:shd w:val="clear" w:color="auto" w:fill="auto"/>
            <w:noWrap/>
            <w:vAlign w:val="center"/>
          </w:tcPr>
          <w:p w14:paraId="70CE279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05FD41C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02619E4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5D70187C">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B192EE1">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64E4AD6">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66A42AB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619F8FF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3041F89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23B851F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12482572">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49C8A16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5CDA42B">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65A39742">
            <w:pPr>
              <w:widowControl/>
              <w:jc w:val="left"/>
              <w:rPr>
                <w:rFonts w:ascii="Times New Roman" w:hAnsi="Times New Roman"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161C2F6B">
            <w:pPr>
              <w:widowControl/>
              <w:ind w:firstLine="630" w:firstLineChars="300"/>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4BB021C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30" w:type="dxa"/>
            <w:tcBorders>
              <w:top w:val="nil"/>
              <w:left w:val="nil"/>
              <w:bottom w:val="single" w:color="auto" w:sz="4" w:space="0"/>
              <w:right w:val="single" w:color="auto" w:sz="4" w:space="0"/>
            </w:tcBorders>
            <w:shd w:val="clear" w:color="auto" w:fill="auto"/>
            <w:noWrap/>
            <w:vAlign w:val="center"/>
          </w:tcPr>
          <w:p w14:paraId="3303698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107" w:type="dxa"/>
            <w:tcBorders>
              <w:top w:val="nil"/>
              <w:left w:val="nil"/>
              <w:bottom w:val="single" w:color="auto" w:sz="4" w:space="0"/>
              <w:right w:val="single" w:color="auto" w:sz="4" w:space="0"/>
            </w:tcBorders>
            <w:shd w:val="clear" w:color="auto" w:fill="auto"/>
            <w:noWrap/>
            <w:vAlign w:val="center"/>
          </w:tcPr>
          <w:p w14:paraId="7381077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993" w:type="dxa"/>
            <w:tcBorders>
              <w:top w:val="nil"/>
              <w:left w:val="nil"/>
              <w:bottom w:val="single" w:color="auto" w:sz="4" w:space="0"/>
              <w:right w:val="single" w:color="auto" w:sz="4" w:space="0"/>
            </w:tcBorders>
            <w:shd w:val="clear" w:color="auto" w:fill="auto"/>
            <w:noWrap/>
            <w:vAlign w:val="center"/>
          </w:tcPr>
          <w:p w14:paraId="0EBC684F">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855" w:type="dxa"/>
            <w:tcBorders>
              <w:top w:val="nil"/>
              <w:left w:val="nil"/>
              <w:bottom w:val="single" w:color="auto" w:sz="4" w:space="0"/>
              <w:right w:val="single" w:color="auto" w:sz="4" w:space="0"/>
            </w:tcBorders>
            <w:shd w:val="clear" w:color="auto" w:fill="auto"/>
            <w:noWrap/>
            <w:vAlign w:val="center"/>
          </w:tcPr>
          <w:p w14:paraId="3659405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6457D2AD">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C5E07ED">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3CA3415B">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年度总</w:t>
            </w:r>
          </w:p>
          <w:p w14:paraId="525524B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体目标</w:t>
            </w: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7D3F0B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预期目标</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0E2AD26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实际完成情况　</w:t>
            </w:r>
          </w:p>
        </w:tc>
      </w:tr>
      <w:tr w14:paraId="518EB919">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1B033B22">
            <w:pPr>
              <w:widowControl/>
              <w:jc w:val="left"/>
              <w:rPr>
                <w:rFonts w:ascii="Times New Roman" w:hAnsi="Times New Roman" w:eastAsia="仿宋_GB2312"/>
                <w:color w:val="000000"/>
                <w:kern w:val="0"/>
                <w:szCs w:val="21"/>
              </w:rPr>
            </w:pPr>
          </w:p>
        </w:tc>
        <w:tc>
          <w:tcPr>
            <w:tcW w:w="4638" w:type="dxa"/>
            <w:gridSpan w:val="4"/>
            <w:tcBorders>
              <w:top w:val="single" w:color="auto" w:sz="4" w:space="0"/>
              <w:left w:val="nil"/>
              <w:bottom w:val="single" w:color="auto" w:sz="4" w:space="0"/>
              <w:right w:val="single" w:color="000000" w:sz="4" w:space="0"/>
            </w:tcBorders>
            <w:shd w:val="clear" w:color="auto" w:fill="auto"/>
            <w:noWrap/>
            <w:vAlign w:val="center"/>
          </w:tcPr>
          <w:p w14:paraId="1AB106C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宋体" w:hAnsi="宋体" w:cs="宋体"/>
                <w:kern w:val="0"/>
                <w:sz w:val="20"/>
                <w:szCs w:val="20"/>
              </w:rPr>
              <w:t>全面完成年度</w:t>
            </w:r>
            <w:r>
              <w:rPr>
                <w:rFonts w:hint="eastAsia" w:ascii="宋体" w:hAnsi="宋体" w:cs="宋体"/>
                <w:kern w:val="0"/>
                <w:sz w:val="20"/>
                <w:szCs w:val="20"/>
                <w:lang w:val="en-US" w:eastAsia="zh-CN"/>
              </w:rPr>
              <w:t>国省道养护、管理和巡查</w:t>
            </w:r>
            <w:r>
              <w:rPr>
                <w:rFonts w:hint="eastAsia" w:ascii="宋体" w:hAnsi="宋体" w:cs="宋体"/>
                <w:kern w:val="0"/>
                <w:sz w:val="20"/>
                <w:szCs w:val="20"/>
              </w:rPr>
              <w:t>任务</w:t>
            </w:r>
          </w:p>
        </w:tc>
        <w:tc>
          <w:tcPr>
            <w:tcW w:w="4226" w:type="dxa"/>
            <w:gridSpan w:val="4"/>
            <w:tcBorders>
              <w:top w:val="single" w:color="auto" w:sz="4" w:space="0"/>
              <w:left w:val="nil"/>
              <w:bottom w:val="single" w:color="auto" w:sz="4" w:space="0"/>
              <w:right w:val="single" w:color="auto" w:sz="4" w:space="0"/>
            </w:tcBorders>
            <w:shd w:val="clear" w:color="auto" w:fill="auto"/>
            <w:noWrap/>
            <w:vAlign w:val="center"/>
          </w:tcPr>
          <w:p w14:paraId="2DC867A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r>
              <w:rPr>
                <w:rFonts w:hint="eastAsia" w:ascii="宋体" w:hAnsi="宋体" w:cs="宋体"/>
                <w:kern w:val="0"/>
                <w:sz w:val="20"/>
                <w:szCs w:val="20"/>
              </w:rPr>
              <w:t>全面完成年度</w:t>
            </w:r>
            <w:r>
              <w:rPr>
                <w:rFonts w:hint="eastAsia" w:ascii="宋体" w:hAnsi="宋体" w:cs="宋体"/>
                <w:kern w:val="0"/>
                <w:sz w:val="20"/>
                <w:szCs w:val="20"/>
                <w:lang w:val="en-US" w:eastAsia="zh-CN"/>
              </w:rPr>
              <w:t>国省道养护、管理和巡查</w:t>
            </w:r>
            <w:r>
              <w:rPr>
                <w:rFonts w:hint="eastAsia" w:ascii="宋体" w:hAnsi="宋体" w:cs="宋体"/>
                <w:kern w:val="0"/>
                <w:sz w:val="20"/>
                <w:szCs w:val="20"/>
              </w:rPr>
              <w:t>任务</w:t>
            </w:r>
          </w:p>
        </w:tc>
      </w:tr>
      <w:tr w14:paraId="400F38AF">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119EAD0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绩</w:t>
            </w:r>
          </w:p>
          <w:p w14:paraId="51A158E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w:t>
            </w:r>
          </w:p>
          <w:p w14:paraId="046CA67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w:t>
            </w:r>
          </w:p>
          <w:p w14:paraId="4F5B1004">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2BB9FABE">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9606AA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0E08631">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三级指标</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E1FA5C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年度</w:t>
            </w:r>
          </w:p>
          <w:p w14:paraId="3571C7DF">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指标值</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18CD746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实际</w:t>
            </w:r>
          </w:p>
          <w:p w14:paraId="34098C03">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完成值</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F49C140">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B75F59B">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8B6B9A2">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偏差原因</w:t>
            </w:r>
          </w:p>
          <w:p w14:paraId="49BBE3D5">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分析及</w:t>
            </w:r>
          </w:p>
          <w:p w14:paraId="44445BC7">
            <w:pPr>
              <w:widowControl/>
              <w:spacing w:line="240" w:lineRule="exact"/>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改进措施</w:t>
            </w:r>
          </w:p>
        </w:tc>
      </w:tr>
      <w:tr w14:paraId="27959FAB">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5C5C9217">
            <w:pPr>
              <w:jc w:val="center"/>
              <w:rPr>
                <w:rFonts w:ascii="Times New Roman" w:hAnsi="Times New Roman"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16A0100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产出</w:t>
            </w:r>
          </w:p>
          <w:p w14:paraId="50DD311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5065079A">
            <w:pPr>
              <w:widowControl/>
              <w:jc w:val="center"/>
              <w:rPr>
                <w:rFonts w:ascii="Times New Roman" w:hAnsi="Times New Roman" w:eastAsia="仿宋_GB2312"/>
                <w:color w:val="000000"/>
                <w:kern w:val="0"/>
                <w:szCs w:val="21"/>
              </w:rPr>
            </w:pPr>
          </w:p>
          <w:p w14:paraId="6CB2AA2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(50分)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7887DD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92D390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完成投资、 国 省 道大中修指标</w:t>
            </w:r>
          </w:p>
          <w:p w14:paraId="2EDDEC35">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B245F8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覆 盖 率 达 到 </w:t>
            </w:r>
          </w:p>
          <w:p w14:paraId="6D29DE80">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100%</w:t>
            </w:r>
          </w:p>
          <w:p w14:paraId="1BE82A00">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3B2EAC4">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978402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437B674A">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30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8ED003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00E6163E">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EE44BFE">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DCC1369">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E3D19C2">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5107DADD">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国 省 道路 </w:t>
            </w:r>
          </w:p>
          <w:p w14:paraId="5651CD2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面 使 用性 </w:t>
            </w:r>
          </w:p>
          <w:p w14:paraId="6C05516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能指数、工 </w:t>
            </w:r>
          </w:p>
          <w:p w14:paraId="32BBB395">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程监督抽 </w:t>
            </w:r>
          </w:p>
          <w:p w14:paraId="29B7C39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检覆盖率</w:t>
            </w:r>
          </w:p>
          <w:p w14:paraId="33F8A683">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7FA744A1">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p w14:paraId="4AF5B655">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66B10D5">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C9E8E59">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347C70E8">
            <w:pPr>
              <w:spacing w:line="280" w:lineRule="exact"/>
              <w:rPr>
                <w:rFonts w:hint="default" w:ascii="Times New Roman" w:hAnsi="Times New Roman" w:eastAsia="仿宋_GB2312" w:cs="Times New Roman"/>
                <w:color w:val="000000"/>
                <w:kern w:val="2"/>
                <w:sz w:val="21"/>
                <w:szCs w:val="21"/>
                <w:lang w:val="en-US" w:eastAsia="zh-CN" w:bidi="ar-SA"/>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02757FA">
            <w:pPr>
              <w:spacing w:line="280" w:lineRule="exact"/>
              <w:rPr>
                <w:rFonts w:hint="eastAsia" w:ascii="Times New Roman" w:hAnsi="Times New Roman" w:eastAsia="仿宋_GB2312"/>
                <w:color w:val="000000"/>
                <w:szCs w:val="21"/>
                <w:lang w:val="en-US" w:eastAsia="zh-CN"/>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p w14:paraId="33513433">
            <w:pPr>
              <w:spacing w:line="280" w:lineRule="exact"/>
              <w:rPr>
                <w:rFonts w:hint="default" w:ascii="Times New Roman" w:hAnsi="Times New Roman" w:eastAsia="仿宋_GB2312" w:cs="Times New Roman"/>
                <w:color w:val="000000"/>
                <w:kern w:val="2"/>
                <w:sz w:val="21"/>
                <w:szCs w:val="21"/>
                <w:lang w:val="en-US" w:eastAsia="zh-CN" w:bidi="ar-SA"/>
              </w:rPr>
            </w:pP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611EC2C">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2B015F5">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357FDE8">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0F776E1">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4011C03">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409632C">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xml:space="preserve">政 府 下达 </w:t>
            </w:r>
          </w:p>
          <w:p w14:paraId="43F1567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重 点 工  按期完成</w:t>
            </w:r>
          </w:p>
          <w:p w14:paraId="5066F6E8">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34958F8">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100%</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4D74963">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100%</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D6C5A36">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19A95EC7">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A1CDD56">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54EBB3E">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A9E8BFC">
            <w:pPr>
              <w:jc w:val="center"/>
              <w:rPr>
                <w:rFonts w:ascii="Times New Roman" w:hAnsi="Times New Roman"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43AF5F1F">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7E1DD7B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453EDFC0">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国省道大中 修补助标准、农村公路改善提升工程，补助标准，不超 过任务下达的预期成本</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FE49341">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支出控制在预算内</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7F19166A">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所有支出控制在预算内</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656A4CAF">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06204A35">
            <w:pPr>
              <w:spacing w:line="280" w:lineRule="exact"/>
              <w:rPr>
                <w:rFonts w:hint="eastAsia"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3F0D62E">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7FF0A2B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6358D88">
            <w:pPr>
              <w:jc w:val="center"/>
              <w:rPr>
                <w:rFonts w:ascii="Times New Roman" w:hAnsi="Times New Roman"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5F9BC9D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效益</w:t>
            </w:r>
          </w:p>
          <w:p w14:paraId="301B156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50025B1D">
            <w:pPr>
              <w:widowControl/>
              <w:jc w:val="left"/>
              <w:rPr>
                <w:rFonts w:ascii="Times New Roman" w:hAnsi="Times New Roman" w:eastAsia="仿宋_GB2312"/>
                <w:color w:val="000000"/>
                <w:kern w:val="0"/>
                <w:szCs w:val="21"/>
              </w:rPr>
            </w:pPr>
          </w:p>
          <w:p w14:paraId="2A612AC0">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（30分）</w:t>
            </w:r>
          </w:p>
          <w:p w14:paraId="31C2C926">
            <w:pPr>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2EDC29F">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经济效</w:t>
            </w:r>
          </w:p>
          <w:p w14:paraId="794C8DF8">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725DA73">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各项交通建设项目在工程建设、后期养护中为道路沿线及运输站场附近的群众提供的直接收入</w:t>
            </w: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6E4B4C7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　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485D607E">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3C4AAFB8">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4278B81">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0A1E63A">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C4FB3A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5FC0BF7">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24BF1EF4">
            <w:pPr>
              <w:jc w:val="left"/>
              <w:rPr>
                <w:rFonts w:ascii="Times New Roman" w:hAnsi="Times New Roman"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0D3DD7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社会效</w:t>
            </w:r>
          </w:p>
          <w:p w14:paraId="7ABCB53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73EAD274">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构建外畅内联、结构合理、安全高效公路网</w:t>
            </w:r>
          </w:p>
          <w:p w14:paraId="3C85D3B6">
            <w:pPr>
              <w:keepNext w:val="0"/>
              <w:keepLines w:val="0"/>
              <w:widowControl/>
              <w:suppressLineNumbers w:val="0"/>
              <w:jc w:val="left"/>
              <w:rPr>
                <w:rFonts w:hint="eastAsia" w:ascii="宋体" w:hAnsi="宋体" w:eastAsia="宋体" w:cs="宋体"/>
                <w:color w:val="000000"/>
                <w:kern w:val="0"/>
                <w:sz w:val="19"/>
                <w:szCs w:val="19"/>
                <w:lang w:val="en-US" w:eastAsia="zh-CN"/>
              </w:rPr>
            </w:pPr>
          </w:p>
        </w:tc>
        <w:tc>
          <w:tcPr>
            <w:tcW w:w="1230" w:type="dxa"/>
            <w:tcBorders>
              <w:top w:val="single" w:color="auto" w:sz="4" w:space="0"/>
              <w:left w:val="nil"/>
              <w:bottom w:val="single" w:color="auto" w:sz="4" w:space="0"/>
              <w:right w:val="single" w:color="auto" w:sz="4" w:space="0"/>
            </w:tcBorders>
            <w:shd w:val="clear" w:color="auto" w:fill="auto"/>
            <w:noWrap/>
            <w:vAlign w:val="center"/>
          </w:tcPr>
          <w:p w14:paraId="3191FBF8">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nil"/>
              <w:bottom w:val="single" w:color="auto" w:sz="4" w:space="0"/>
              <w:right w:val="single" w:color="auto" w:sz="4" w:space="0"/>
            </w:tcBorders>
            <w:shd w:val="clear" w:color="auto" w:fill="auto"/>
            <w:noWrap/>
            <w:vAlign w:val="center"/>
          </w:tcPr>
          <w:p w14:paraId="0F15E3FA">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nil"/>
              <w:bottom w:val="single" w:color="auto" w:sz="4" w:space="0"/>
              <w:right w:val="single" w:color="auto" w:sz="4" w:space="0"/>
            </w:tcBorders>
            <w:shd w:val="clear" w:color="auto" w:fill="auto"/>
            <w:noWrap/>
            <w:vAlign w:val="center"/>
          </w:tcPr>
          <w:p w14:paraId="47CBF8FB">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57A8ECF9">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C4C0EE1">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9C83C45">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DD914F5">
            <w:pPr>
              <w:jc w:val="center"/>
              <w:rPr>
                <w:rFonts w:ascii="Times New Roman" w:hAnsi="Times New Roman" w:eastAsia="仿宋_GB2312"/>
                <w:color w:val="000000"/>
                <w:kern w:val="0"/>
                <w:szCs w:val="21"/>
              </w:rPr>
            </w:pPr>
          </w:p>
        </w:tc>
        <w:tc>
          <w:tcPr>
            <w:tcW w:w="992" w:type="dxa"/>
            <w:vMerge w:val="continue"/>
            <w:tcBorders>
              <w:left w:val="nil"/>
              <w:right w:val="single" w:color="auto" w:sz="4" w:space="0"/>
            </w:tcBorders>
            <w:shd w:val="clear" w:color="auto" w:fill="auto"/>
            <w:noWrap/>
            <w:vAlign w:val="center"/>
          </w:tcPr>
          <w:p w14:paraId="1C4E1362">
            <w:pPr>
              <w:jc w:val="left"/>
              <w:rPr>
                <w:rFonts w:ascii="Times New Roman" w:hAnsi="Times New Roman"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06297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生态效</w:t>
            </w:r>
          </w:p>
          <w:p w14:paraId="2AD88C60">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益指标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505E9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绿色交通</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9163B9">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46D50A">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E87206">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855" w:type="dxa"/>
            <w:tcBorders>
              <w:top w:val="single" w:color="auto" w:sz="4" w:space="0"/>
              <w:left w:val="nil"/>
              <w:bottom w:val="single" w:color="auto" w:sz="4" w:space="0"/>
              <w:right w:val="single" w:color="auto" w:sz="4" w:space="0"/>
            </w:tcBorders>
            <w:shd w:val="clear" w:color="auto" w:fill="auto"/>
            <w:noWrap/>
            <w:vAlign w:val="center"/>
          </w:tcPr>
          <w:p w14:paraId="65292EE6">
            <w:pPr>
              <w:spacing w:line="280" w:lineRule="exact"/>
              <w:rPr>
                <w:rFonts w:hint="default"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6D4BC07">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1D5EA04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D121309">
            <w:pPr>
              <w:widowControl/>
              <w:jc w:val="center"/>
              <w:rPr>
                <w:rFonts w:ascii="Times New Roman" w:hAnsi="Times New Roman" w:eastAsia="仿宋_GB2312"/>
                <w:color w:val="000000"/>
                <w:kern w:val="0"/>
                <w:szCs w:val="21"/>
              </w:rPr>
            </w:pPr>
          </w:p>
        </w:tc>
        <w:tc>
          <w:tcPr>
            <w:tcW w:w="992" w:type="dxa"/>
            <w:vMerge w:val="continue"/>
            <w:tcBorders>
              <w:left w:val="single" w:color="auto" w:sz="4" w:space="0"/>
              <w:right w:val="single" w:color="auto" w:sz="4" w:space="0"/>
            </w:tcBorders>
            <w:shd w:val="clear" w:color="auto" w:fill="auto"/>
            <w:noWrap/>
            <w:vAlign w:val="center"/>
          </w:tcPr>
          <w:p w14:paraId="0E7F3912">
            <w:pPr>
              <w:widowControl/>
              <w:jc w:val="left"/>
              <w:rPr>
                <w:rFonts w:ascii="Times New Roman" w:hAnsi="Times New Roman" w:eastAsia="仿宋_GB2312"/>
                <w:color w:val="000000"/>
                <w:kern w:val="0"/>
                <w:szCs w:val="21"/>
              </w:rPr>
            </w:pPr>
          </w:p>
        </w:tc>
        <w:tc>
          <w:tcPr>
            <w:tcW w:w="1261" w:type="dxa"/>
            <w:tcBorders>
              <w:top w:val="single" w:color="auto" w:sz="4" w:space="0"/>
              <w:left w:val="single" w:color="auto" w:sz="4" w:space="0"/>
              <w:right w:val="single" w:color="auto" w:sz="4" w:space="0"/>
            </w:tcBorders>
            <w:shd w:val="clear" w:color="auto" w:fill="auto"/>
            <w:noWrap/>
            <w:vAlign w:val="center"/>
          </w:tcPr>
          <w:p w14:paraId="2A4A7DA5">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B79697">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长期对公路养护</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D93B4">
            <w:pPr>
              <w:keepNext w:val="0"/>
              <w:keepLines w:val="0"/>
              <w:widowControl/>
              <w:suppressLineNumbers w:val="0"/>
              <w:jc w:val="left"/>
              <w:rPr>
                <w:rFonts w:hint="eastAsia"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持续提升</w:t>
            </w:r>
          </w:p>
        </w:tc>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713D1F">
            <w:pPr>
              <w:spacing w:line="280" w:lineRule="exact"/>
              <w:rPr>
                <w:rFonts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宋体" w:hAnsi="宋体" w:eastAsia="宋体" w:cs="宋体"/>
                <w:color w:val="000000"/>
                <w:kern w:val="0"/>
                <w:sz w:val="19"/>
                <w:szCs w:val="19"/>
                <w:lang w:val="en-US" w:eastAsia="zh-CN"/>
              </w:rPr>
              <w:t>持续提升</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46264A">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8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4CFA57">
            <w:pPr>
              <w:spacing w:line="280" w:lineRule="exact"/>
              <w:rPr>
                <w:rFonts w:ascii="Times New Roman" w:hAnsi="Times New Roman" w:eastAsia="仿宋_GB2312" w:cs="Times New Roman"/>
                <w:color w:val="000000"/>
                <w:kern w:val="2"/>
                <w:sz w:val="21"/>
                <w:szCs w:val="21"/>
                <w:lang w:val="en-US" w:eastAsia="zh-CN" w:bidi="ar-SA"/>
              </w:rPr>
            </w:pPr>
            <w:r>
              <w:rPr>
                <w:rFonts w:hint="eastAsia" w:ascii="Times New Roman" w:hAnsi="Times New Roman" w:eastAsia="仿宋_GB2312"/>
                <w:color w:val="000000"/>
                <w:szCs w:val="21"/>
                <w:lang w:val="en-US" w:eastAsia="zh-CN"/>
              </w:rPr>
              <w:t>7.5</w:t>
            </w:r>
            <w:r>
              <w:rPr>
                <w:rFonts w:ascii="Times New Roman" w:hAnsi="Times New Roman" w:eastAsia="仿宋_GB2312"/>
                <w:color w:val="000000"/>
                <w:szCs w:val="21"/>
              </w:rPr>
              <w:t>　</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269BF3">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3DF671B6">
        <w:tblPrEx>
          <w:tblCellMar>
            <w:top w:w="0" w:type="dxa"/>
            <w:left w:w="108" w:type="dxa"/>
            <w:bottom w:w="0" w:type="dxa"/>
            <w:right w:w="108" w:type="dxa"/>
          </w:tblCellMar>
        </w:tblPrEx>
        <w:trPr>
          <w:trHeight w:val="440" w:hRule="atLeast"/>
          <w:jc w:val="center"/>
        </w:trPr>
        <w:tc>
          <w:tcPr>
            <w:tcW w:w="1135" w:type="dxa"/>
            <w:vMerge w:val="continue"/>
            <w:tcBorders>
              <w:left w:val="single" w:color="auto" w:sz="4" w:space="0"/>
              <w:right w:val="single" w:color="auto" w:sz="4" w:space="0"/>
            </w:tcBorders>
            <w:shd w:val="clear" w:color="auto" w:fill="auto"/>
            <w:noWrap/>
            <w:vAlign w:val="center"/>
          </w:tcPr>
          <w:p w14:paraId="1E93A34E">
            <w:pPr>
              <w:jc w:val="left"/>
              <w:rPr>
                <w:rFonts w:ascii="Times New Roman" w:hAnsi="Times New Roman" w:eastAsia="仿宋_GB2312"/>
                <w:color w:val="000000"/>
                <w:kern w:val="0"/>
                <w:szCs w:val="21"/>
              </w:rPr>
            </w:pPr>
          </w:p>
        </w:tc>
        <w:tc>
          <w:tcPr>
            <w:tcW w:w="992" w:type="dxa"/>
            <w:tcBorders>
              <w:top w:val="nil"/>
              <w:left w:val="nil"/>
              <w:right w:val="single" w:color="auto" w:sz="4" w:space="0"/>
            </w:tcBorders>
            <w:shd w:val="clear" w:color="auto" w:fill="auto"/>
            <w:noWrap/>
            <w:vAlign w:val="center"/>
          </w:tcPr>
          <w:p w14:paraId="2D886F17">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满意度</w:t>
            </w:r>
          </w:p>
          <w:p w14:paraId="61B4C60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指标</w:t>
            </w:r>
          </w:p>
          <w:p w14:paraId="483A6D31">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（10分）</w:t>
            </w:r>
          </w:p>
        </w:tc>
        <w:tc>
          <w:tcPr>
            <w:tcW w:w="1261" w:type="dxa"/>
            <w:tcBorders>
              <w:top w:val="nil"/>
              <w:left w:val="nil"/>
              <w:right w:val="single" w:color="auto" w:sz="4" w:space="0"/>
            </w:tcBorders>
            <w:shd w:val="clear" w:color="auto" w:fill="auto"/>
            <w:noWrap/>
            <w:vAlign w:val="center"/>
          </w:tcPr>
          <w:p w14:paraId="4FEE2E6D">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服务对象满意度指标</w:t>
            </w:r>
          </w:p>
        </w:tc>
        <w:tc>
          <w:tcPr>
            <w:tcW w:w="1155" w:type="dxa"/>
            <w:tcBorders>
              <w:top w:val="nil"/>
              <w:left w:val="nil"/>
              <w:bottom w:val="single" w:color="auto" w:sz="4" w:space="0"/>
              <w:right w:val="single" w:color="auto" w:sz="4" w:space="0"/>
            </w:tcBorders>
            <w:shd w:val="clear" w:color="auto" w:fill="auto"/>
            <w:noWrap/>
            <w:vAlign w:val="center"/>
          </w:tcPr>
          <w:p w14:paraId="67568A0B">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公众满意度</w:t>
            </w:r>
          </w:p>
        </w:tc>
        <w:tc>
          <w:tcPr>
            <w:tcW w:w="1230" w:type="dxa"/>
            <w:tcBorders>
              <w:top w:val="nil"/>
              <w:left w:val="nil"/>
              <w:bottom w:val="single" w:color="auto" w:sz="4" w:space="0"/>
              <w:right w:val="single" w:color="auto" w:sz="4" w:space="0"/>
            </w:tcBorders>
            <w:shd w:val="clear" w:color="auto" w:fill="auto"/>
            <w:noWrap/>
            <w:vAlign w:val="center"/>
          </w:tcPr>
          <w:p w14:paraId="45A6B188">
            <w:pPr>
              <w:keepNext w:val="0"/>
              <w:keepLines w:val="0"/>
              <w:widowControl/>
              <w:suppressLineNumbers w:val="0"/>
              <w:jc w:val="left"/>
              <w:rPr>
                <w:rFonts w:hint="default" w:ascii="宋体" w:hAnsi="宋体" w:eastAsia="宋体" w:cs="宋体"/>
                <w:color w:val="000000"/>
                <w:kern w:val="0"/>
                <w:sz w:val="19"/>
                <w:szCs w:val="19"/>
                <w:lang w:val="en-US" w:eastAsia="zh-CN"/>
              </w:rPr>
            </w:pPr>
            <w:r>
              <w:rPr>
                <w:rFonts w:hint="eastAsia" w:ascii="宋体" w:hAnsi="宋体" w:eastAsia="宋体" w:cs="宋体"/>
                <w:color w:val="000000"/>
                <w:kern w:val="0"/>
                <w:sz w:val="19"/>
                <w:szCs w:val="19"/>
                <w:lang w:val="en-US" w:eastAsia="zh-CN"/>
              </w:rPr>
              <w:t>达到95%以上</w:t>
            </w:r>
          </w:p>
        </w:tc>
        <w:tc>
          <w:tcPr>
            <w:tcW w:w="1107" w:type="dxa"/>
            <w:tcBorders>
              <w:top w:val="nil"/>
              <w:left w:val="nil"/>
              <w:bottom w:val="single" w:color="auto" w:sz="4" w:space="0"/>
              <w:right w:val="single" w:color="auto" w:sz="4" w:space="0"/>
            </w:tcBorders>
            <w:shd w:val="clear" w:color="auto" w:fill="auto"/>
            <w:noWrap/>
            <w:vAlign w:val="center"/>
          </w:tcPr>
          <w:p w14:paraId="0688D2D2">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98%</w:t>
            </w:r>
          </w:p>
        </w:tc>
        <w:tc>
          <w:tcPr>
            <w:tcW w:w="993" w:type="dxa"/>
            <w:tcBorders>
              <w:top w:val="nil"/>
              <w:left w:val="nil"/>
              <w:bottom w:val="single" w:color="auto" w:sz="4" w:space="0"/>
              <w:right w:val="single" w:color="auto" w:sz="4" w:space="0"/>
            </w:tcBorders>
            <w:shd w:val="clear" w:color="auto" w:fill="auto"/>
            <w:noWrap/>
            <w:vAlign w:val="center"/>
          </w:tcPr>
          <w:p w14:paraId="752075FE">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855" w:type="dxa"/>
            <w:tcBorders>
              <w:top w:val="nil"/>
              <w:left w:val="nil"/>
              <w:bottom w:val="single" w:color="auto" w:sz="4" w:space="0"/>
              <w:right w:val="single" w:color="auto" w:sz="4" w:space="0"/>
            </w:tcBorders>
            <w:shd w:val="clear" w:color="auto" w:fill="auto"/>
            <w:noWrap/>
            <w:vAlign w:val="center"/>
          </w:tcPr>
          <w:p w14:paraId="6C2A3E45">
            <w:pPr>
              <w:spacing w:line="280" w:lineRule="exact"/>
              <w:rPr>
                <w:rFonts w:hint="default" w:ascii="Times New Roman" w:hAnsi="Times New Roman" w:eastAsia="仿宋_GB2312" w:cs="Times New Roman"/>
                <w:color w:val="000000"/>
                <w:kern w:val="2"/>
                <w:sz w:val="21"/>
                <w:szCs w:val="21"/>
                <w:lang w:val="en-US" w:eastAsia="zh-CN" w:bidi="ar-SA"/>
              </w:rPr>
            </w:pPr>
            <w:r>
              <w:rPr>
                <w:rFonts w:ascii="Times New Roman" w:hAnsi="Times New Roman" w:eastAsia="仿宋_GB2312"/>
                <w:color w:val="000000"/>
                <w:szCs w:val="21"/>
              </w:rPr>
              <w:t>　</w:t>
            </w:r>
            <w:r>
              <w:rPr>
                <w:rFonts w:hint="eastAsia" w:ascii="Times New Roman" w:hAnsi="Times New Roman" w:eastAsia="仿宋_GB2312"/>
                <w:color w:val="000000"/>
                <w:szCs w:val="21"/>
                <w:lang w:val="en-US" w:eastAsia="zh-CN"/>
              </w:rPr>
              <w:t>10</w:t>
            </w:r>
          </w:p>
        </w:tc>
        <w:tc>
          <w:tcPr>
            <w:tcW w:w="1271" w:type="dxa"/>
            <w:tcBorders>
              <w:top w:val="nil"/>
              <w:left w:val="nil"/>
              <w:bottom w:val="single" w:color="auto" w:sz="4" w:space="0"/>
              <w:right w:val="single" w:color="auto" w:sz="4" w:space="0"/>
            </w:tcBorders>
            <w:shd w:val="clear" w:color="auto" w:fill="auto"/>
            <w:noWrap/>
            <w:vAlign w:val="center"/>
          </w:tcPr>
          <w:p w14:paraId="45906845">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r w14:paraId="467B5546">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2A6CFA79">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总分</w:t>
            </w:r>
          </w:p>
        </w:tc>
        <w:tc>
          <w:tcPr>
            <w:tcW w:w="993" w:type="dxa"/>
            <w:tcBorders>
              <w:top w:val="nil"/>
              <w:left w:val="nil"/>
              <w:bottom w:val="single" w:color="auto" w:sz="4" w:space="0"/>
              <w:right w:val="single" w:color="auto" w:sz="4" w:space="0"/>
            </w:tcBorders>
            <w:shd w:val="clear" w:color="auto" w:fill="auto"/>
            <w:noWrap/>
            <w:vAlign w:val="center"/>
          </w:tcPr>
          <w:p w14:paraId="750EEDD6">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100</w:t>
            </w:r>
          </w:p>
        </w:tc>
        <w:tc>
          <w:tcPr>
            <w:tcW w:w="855" w:type="dxa"/>
            <w:tcBorders>
              <w:top w:val="nil"/>
              <w:left w:val="nil"/>
              <w:bottom w:val="single" w:color="auto" w:sz="4" w:space="0"/>
              <w:right w:val="single" w:color="auto" w:sz="4" w:space="0"/>
            </w:tcBorders>
            <w:shd w:val="clear" w:color="auto" w:fill="auto"/>
            <w:noWrap/>
            <w:vAlign w:val="center"/>
          </w:tcPr>
          <w:p w14:paraId="7358E9F6">
            <w:pPr>
              <w:widowControl/>
              <w:jc w:val="left"/>
              <w:rPr>
                <w:rFonts w:hint="default" w:ascii="Times New Roman" w:hAnsi="Times New Roman" w:eastAsia="仿宋_GB2312"/>
                <w:color w:val="000000"/>
                <w:kern w:val="0"/>
                <w:szCs w:val="21"/>
                <w:lang w:val="en-US" w:eastAsia="zh-CN"/>
              </w:rPr>
            </w:pPr>
            <w:r>
              <w:rPr>
                <w:rFonts w:ascii="Times New Roman" w:hAnsi="Times New Roman" w:eastAsia="仿宋_GB2312"/>
                <w:color w:val="000000"/>
                <w:kern w:val="0"/>
                <w:szCs w:val="21"/>
              </w:rPr>
              <w:t>　</w:t>
            </w:r>
            <w:r>
              <w:rPr>
                <w:rFonts w:hint="eastAsia" w:ascii="Times New Roman" w:hAnsi="Times New Roman" w:eastAsia="仿宋_GB2312"/>
                <w:color w:val="000000"/>
                <w:kern w:val="0"/>
                <w:szCs w:val="21"/>
                <w:lang w:val="en-US" w:eastAsia="zh-CN"/>
              </w:rPr>
              <w:t>100</w:t>
            </w:r>
          </w:p>
        </w:tc>
        <w:tc>
          <w:tcPr>
            <w:tcW w:w="1271" w:type="dxa"/>
            <w:tcBorders>
              <w:top w:val="nil"/>
              <w:left w:val="nil"/>
              <w:bottom w:val="single" w:color="auto" w:sz="4" w:space="0"/>
              <w:right w:val="single" w:color="auto" w:sz="4" w:space="0"/>
            </w:tcBorders>
            <w:shd w:val="clear" w:color="auto" w:fill="auto"/>
            <w:noWrap/>
            <w:vAlign w:val="center"/>
          </w:tcPr>
          <w:p w14:paraId="661C4259">
            <w:pPr>
              <w:widowControl/>
              <w:jc w:val="left"/>
              <w:rPr>
                <w:rFonts w:ascii="Times New Roman" w:hAnsi="Times New Roman" w:eastAsia="仿宋_GB2312"/>
                <w:color w:val="000000"/>
                <w:kern w:val="0"/>
                <w:szCs w:val="21"/>
              </w:rPr>
            </w:pPr>
            <w:r>
              <w:rPr>
                <w:rFonts w:ascii="Times New Roman" w:hAnsi="Times New Roman" w:eastAsia="仿宋_GB2312"/>
                <w:color w:val="000000"/>
                <w:kern w:val="0"/>
                <w:szCs w:val="21"/>
              </w:rPr>
              <w:t>　</w:t>
            </w:r>
          </w:p>
        </w:tc>
      </w:tr>
    </w:tbl>
    <w:p w14:paraId="449B4019">
      <w:pPr>
        <w:widowControl/>
        <w:spacing w:line="600" w:lineRule="exact"/>
        <w:jc w:val="left"/>
        <w:rPr>
          <w:rFonts w:ascii="Times New Roman" w:hAnsi="Times New Roman" w:eastAsia="黑体"/>
          <w:sz w:val="32"/>
          <w:szCs w:val="32"/>
        </w:rPr>
      </w:pPr>
    </w:p>
    <w:p w14:paraId="33EABAFC">
      <w:pPr>
        <w:widowControl/>
        <w:spacing w:line="600" w:lineRule="exact"/>
        <w:jc w:val="left"/>
        <w:rPr>
          <w:rFonts w:ascii="Times New Roman" w:hAnsi="Times New Roman" w:eastAsia="黑体"/>
          <w:sz w:val="32"/>
          <w:szCs w:val="32"/>
        </w:rPr>
      </w:pPr>
    </w:p>
    <w:p w14:paraId="26A18358">
      <w:pPr>
        <w:widowControl/>
        <w:spacing w:line="600" w:lineRule="exact"/>
        <w:jc w:val="left"/>
        <w:rPr>
          <w:rFonts w:ascii="Times New Roman" w:hAnsi="Times New Roman" w:eastAsia="黑体"/>
          <w:sz w:val="32"/>
          <w:szCs w:val="32"/>
        </w:rPr>
      </w:pPr>
    </w:p>
    <w:p w14:paraId="0CDD5B0B">
      <w:pPr>
        <w:widowControl/>
        <w:spacing w:line="600" w:lineRule="exact"/>
        <w:jc w:val="left"/>
        <w:rPr>
          <w:rFonts w:ascii="Times New Roman" w:hAnsi="Times New Roman" w:eastAsia="黑体"/>
          <w:sz w:val="32"/>
          <w:szCs w:val="32"/>
        </w:rPr>
      </w:pPr>
    </w:p>
    <w:p w14:paraId="2BD6CEF7">
      <w:pPr>
        <w:widowControl/>
        <w:spacing w:line="600" w:lineRule="exact"/>
        <w:jc w:val="left"/>
        <w:rPr>
          <w:rFonts w:ascii="Times New Roman" w:hAnsi="Times New Roman" w:eastAsia="黑体"/>
          <w:sz w:val="32"/>
          <w:szCs w:val="32"/>
        </w:rPr>
      </w:pPr>
    </w:p>
    <w:p w14:paraId="07385CE0">
      <w:pPr>
        <w:widowControl/>
        <w:spacing w:line="600" w:lineRule="exact"/>
        <w:jc w:val="left"/>
        <w:rPr>
          <w:rFonts w:ascii="Times New Roman" w:hAnsi="Times New Roman" w:eastAsia="黑体"/>
          <w:sz w:val="32"/>
          <w:szCs w:val="32"/>
        </w:rPr>
      </w:pPr>
    </w:p>
    <w:p w14:paraId="7E383033">
      <w:pPr>
        <w:widowControl/>
        <w:spacing w:line="600" w:lineRule="exact"/>
        <w:jc w:val="left"/>
        <w:rPr>
          <w:rFonts w:ascii="Times New Roman" w:hAnsi="Times New Roman" w:eastAsia="黑体"/>
          <w:sz w:val="32"/>
          <w:szCs w:val="32"/>
        </w:rPr>
      </w:pPr>
    </w:p>
    <w:p w14:paraId="2A691B00">
      <w:pPr>
        <w:widowControl/>
        <w:spacing w:line="600" w:lineRule="exact"/>
        <w:jc w:val="left"/>
        <w:rPr>
          <w:rFonts w:ascii="Times New Roman" w:hAnsi="Times New Roman" w:eastAsia="黑体"/>
          <w:sz w:val="32"/>
          <w:szCs w:val="32"/>
        </w:rPr>
      </w:pPr>
    </w:p>
    <w:p w14:paraId="7BB50FFA">
      <w:pPr>
        <w:widowControl/>
        <w:spacing w:line="600" w:lineRule="exact"/>
        <w:jc w:val="left"/>
        <w:rPr>
          <w:rFonts w:ascii="Times New Roman" w:hAnsi="Times New Roman" w:eastAsia="黑体"/>
          <w:sz w:val="32"/>
          <w:szCs w:val="32"/>
        </w:rPr>
      </w:pPr>
    </w:p>
    <w:p w14:paraId="547614B3">
      <w:pPr>
        <w:widowControl/>
        <w:spacing w:line="600" w:lineRule="exact"/>
        <w:jc w:val="left"/>
        <w:rPr>
          <w:rFonts w:ascii="Times New Roman" w:hAnsi="Times New Roman" w:eastAsia="黑体"/>
          <w:sz w:val="32"/>
          <w:szCs w:val="32"/>
        </w:rPr>
      </w:pPr>
    </w:p>
    <w:p w14:paraId="6D8E16CC">
      <w:pPr>
        <w:widowControl/>
        <w:spacing w:line="600" w:lineRule="exact"/>
        <w:jc w:val="left"/>
        <w:rPr>
          <w:rFonts w:hint="eastAsia" w:ascii="Times New Roman" w:hAnsi="Times New Roman" w:eastAsia="黑体"/>
          <w:sz w:val="32"/>
          <w:szCs w:val="32"/>
          <w:lang w:val="en-US"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6</w:t>
      </w:r>
    </w:p>
    <w:p w14:paraId="5D6D78C3">
      <w:pPr>
        <w:jc w:val="center"/>
        <w:rPr>
          <w:rFonts w:ascii="Times New Roman" w:hAnsi="Times New Roman" w:eastAsia="方正小标宋简体"/>
          <w:sz w:val="48"/>
          <w:szCs w:val="48"/>
        </w:rPr>
      </w:pPr>
      <w:r>
        <w:rPr>
          <w:rFonts w:hint="eastAsia" w:ascii="Times New Roman" w:hAnsi="Times New Roman" w:eastAsia="方正小标宋简体"/>
          <w:sz w:val="48"/>
          <w:szCs w:val="48"/>
        </w:rPr>
        <w:t>项目</w:t>
      </w:r>
      <w:r>
        <w:rPr>
          <w:rFonts w:ascii="Times New Roman" w:hAnsi="Times New Roman" w:eastAsia="方正小标宋简体"/>
          <w:sz w:val="48"/>
          <w:szCs w:val="48"/>
        </w:rPr>
        <w:t>支出绩效自评报告</w:t>
      </w:r>
    </w:p>
    <w:p w14:paraId="043700A1">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rPr>
        <w:t>2</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382A62DD">
      <w:pPr>
        <w:jc w:val="center"/>
        <w:rPr>
          <w:rFonts w:ascii="Times New Roman" w:hAnsi="Times New Roman" w:eastAsia="黑体"/>
          <w:sz w:val="32"/>
          <w:szCs w:val="32"/>
        </w:rPr>
      </w:pPr>
    </w:p>
    <w:p w14:paraId="374CD82C">
      <w:pPr>
        <w:jc w:val="center"/>
        <w:rPr>
          <w:rFonts w:ascii="Times New Roman" w:hAnsi="Times New Roman" w:eastAsia="黑体"/>
          <w:sz w:val="32"/>
          <w:szCs w:val="32"/>
        </w:rPr>
      </w:pPr>
    </w:p>
    <w:p w14:paraId="44E4617B">
      <w:pPr>
        <w:jc w:val="center"/>
        <w:rPr>
          <w:rFonts w:ascii="Times New Roman" w:hAnsi="Times New Roman" w:eastAsia="黑体"/>
          <w:sz w:val="32"/>
          <w:szCs w:val="32"/>
        </w:rPr>
      </w:pPr>
    </w:p>
    <w:p w14:paraId="111E6DBC">
      <w:pPr>
        <w:jc w:val="center"/>
        <w:rPr>
          <w:rFonts w:ascii="Times New Roman" w:hAnsi="Times New Roman" w:eastAsia="黑体"/>
          <w:sz w:val="32"/>
          <w:szCs w:val="32"/>
        </w:rPr>
      </w:pPr>
    </w:p>
    <w:p w14:paraId="29CB7439">
      <w:pPr>
        <w:rPr>
          <w:rFonts w:ascii="Times New Roman" w:hAnsi="Times New Roman" w:eastAsia="黑体"/>
          <w:sz w:val="32"/>
          <w:szCs w:val="32"/>
        </w:rPr>
      </w:pPr>
    </w:p>
    <w:p w14:paraId="3BBF2A0A">
      <w:pPr>
        <w:jc w:val="center"/>
        <w:rPr>
          <w:rFonts w:ascii="Times New Roman" w:hAnsi="Times New Roman"/>
          <w:sz w:val="36"/>
          <w:szCs w:val="36"/>
        </w:rPr>
      </w:pPr>
    </w:p>
    <w:p w14:paraId="5C109804">
      <w:pPr>
        <w:jc w:val="center"/>
        <w:rPr>
          <w:rFonts w:ascii="Times New Roman" w:hAnsi="Times New Roman"/>
          <w:sz w:val="36"/>
          <w:szCs w:val="36"/>
        </w:rPr>
      </w:pPr>
    </w:p>
    <w:p w14:paraId="4C46305E">
      <w:pPr>
        <w:jc w:val="center"/>
        <w:rPr>
          <w:rFonts w:ascii="Times New Roman" w:hAnsi="Times New Roman"/>
          <w:sz w:val="36"/>
          <w:szCs w:val="36"/>
        </w:rPr>
      </w:pPr>
    </w:p>
    <w:p w14:paraId="4B001F79">
      <w:pPr>
        <w:jc w:val="center"/>
        <w:rPr>
          <w:rFonts w:ascii="Times New Roman" w:hAnsi="Times New Roman"/>
          <w:sz w:val="36"/>
          <w:szCs w:val="36"/>
        </w:rPr>
      </w:pPr>
    </w:p>
    <w:p w14:paraId="04E447E6">
      <w:pPr>
        <w:jc w:val="center"/>
        <w:rPr>
          <w:rFonts w:ascii="Times New Roman" w:hAnsi="Times New Roman"/>
          <w:sz w:val="36"/>
          <w:szCs w:val="36"/>
        </w:rPr>
      </w:pPr>
    </w:p>
    <w:p w14:paraId="0938C0BB">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w:t>
      </w:r>
      <w:r>
        <w:rPr>
          <w:rFonts w:hint="eastAsia" w:ascii="Times New Roman" w:hAnsi="Times New Roman"/>
          <w:sz w:val="36"/>
          <w:szCs w:val="36"/>
          <w:lang w:val="en-US" w:eastAsia="zh-CN"/>
        </w:rPr>
        <w:t>衡阳市公路建设养护中心石鼓分中心</w:t>
      </w:r>
    </w:p>
    <w:p w14:paraId="20128310">
      <w:pPr>
        <w:jc w:val="center"/>
        <w:rPr>
          <w:rFonts w:ascii="Times New Roman" w:hAnsi="Times New Roman" w:eastAsia="黑体"/>
          <w:sz w:val="32"/>
          <w:szCs w:val="32"/>
        </w:rPr>
      </w:pPr>
    </w:p>
    <w:p w14:paraId="76DC6E6D">
      <w:pPr>
        <w:jc w:val="center"/>
        <w:rPr>
          <w:rFonts w:ascii="Times New Roman" w:hAnsi="Times New Roman" w:eastAsia="黑体"/>
          <w:sz w:val="32"/>
          <w:szCs w:val="32"/>
        </w:rPr>
      </w:pPr>
    </w:p>
    <w:p w14:paraId="1032F6D8">
      <w:pPr>
        <w:jc w:val="center"/>
        <w:rPr>
          <w:rFonts w:ascii="Times New Roman" w:hAnsi="Times New Roman" w:eastAsia="黑体"/>
          <w:sz w:val="32"/>
          <w:szCs w:val="32"/>
        </w:rPr>
      </w:pPr>
    </w:p>
    <w:p w14:paraId="5C3A117E">
      <w:pPr>
        <w:jc w:val="center"/>
        <w:rPr>
          <w:rFonts w:ascii="Times New Roman" w:hAnsi="Times New Roman" w:eastAsia="黑体"/>
          <w:sz w:val="32"/>
          <w:szCs w:val="32"/>
        </w:rPr>
      </w:pPr>
    </w:p>
    <w:p w14:paraId="2C7E4DA0">
      <w:pPr>
        <w:spacing w:line="600" w:lineRule="exact"/>
        <w:jc w:val="center"/>
        <w:rPr>
          <w:rFonts w:ascii="Times New Roman" w:hAnsi="Times New Roman" w:eastAsia="方正小标宋_GBK"/>
          <w:sz w:val="36"/>
          <w:szCs w:val="36"/>
        </w:rPr>
      </w:pPr>
    </w:p>
    <w:p w14:paraId="3A59CCD6">
      <w:pPr>
        <w:spacing w:line="600" w:lineRule="exact"/>
        <w:jc w:val="center"/>
        <w:rPr>
          <w:rFonts w:ascii="Times New Roman" w:hAnsi="Times New Roman" w:eastAsia="方正小标宋_GBK"/>
          <w:sz w:val="36"/>
          <w:szCs w:val="36"/>
        </w:rPr>
      </w:pPr>
    </w:p>
    <w:p w14:paraId="76FC4D7F">
      <w:pPr>
        <w:spacing w:line="600" w:lineRule="exact"/>
        <w:jc w:val="center"/>
        <w:rPr>
          <w:rFonts w:ascii="Times New Roman" w:hAnsi="Times New Roman" w:eastAsia="方正小标宋_GBK"/>
          <w:sz w:val="36"/>
          <w:szCs w:val="36"/>
        </w:rPr>
      </w:pPr>
    </w:p>
    <w:p w14:paraId="534AB7AD">
      <w:pPr>
        <w:spacing w:line="600" w:lineRule="exact"/>
        <w:jc w:val="center"/>
        <w:rPr>
          <w:rFonts w:ascii="Times New Roman" w:hAnsi="Times New Roman" w:eastAsia="方正小标宋_GBK"/>
          <w:sz w:val="36"/>
          <w:szCs w:val="36"/>
        </w:rPr>
      </w:pPr>
    </w:p>
    <w:p w14:paraId="0ECDFE9E">
      <w:pPr>
        <w:spacing w:line="600" w:lineRule="exact"/>
        <w:rPr>
          <w:rFonts w:ascii="Times New Roman" w:hAnsi="Times New Roman" w:eastAsia="方正小标宋_GBK"/>
          <w:sz w:val="36"/>
          <w:szCs w:val="36"/>
        </w:rPr>
      </w:pPr>
    </w:p>
    <w:p w14:paraId="6B7818CF">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项目支出绩效自评报告</w:t>
      </w:r>
    </w:p>
    <w:p w14:paraId="357F9506">
      <w:pPr>
        <w:adjustRightInd w:val="0"/>
        <w:spacing w:line="600" w:lineRule="exact"/>
        <w:ind w:right="641"/>
        <w:rPr>
          <w:rFonts w:ascii="Times New Roman" w:hAnsi="Times New Roman" w:eastAsia="仿宋_GB2312"/>
          <w:sz w:val="32"/>
          <w:szCs w:val="32"/>
        </w:rPr>
      </w:pPr>
    </w:p>
    <w:p w14:paraId="76C2AD5D">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14:paraId="5D69C1F0">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（一）项目实施单位基本情况。</w:t>
      </w:r>
    </w:p>
    <w:p w14:paraId="50B292C4">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年度我局机关设</w:t>
      </w: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lang w:eastAsia="zh-CN"/>
        </w:rPr>
        <w:t>个内设机构，实有编制</w:t>
      </w:r>
      <w:r>
        <w:rPr>
          <w:rFonts w:hint="eastAsia" w:ascii="Times New Roman" w:hAnsi="Times New Roman" w:eastAsia="仿宋_GB2312"/>
          <w:sz w:val="32"/>
          <w:szCs w:val="32"/>
          <w:lang w:val="en-US" w:eastAsia="zh-CN"/>
        </w:rPr>
        <w:t>39</w:t>
      </w:r>
      <w:r>
        <w:rPr>
          <w:rFonts w:hint="eastAsia" w:ascii="Times New Roman" w:hAnsi="Times New Roman" w:eastAsia="仿宋_GB2312"/>
          <w:sz w:val="32"/>
          <w:szCs w:val="32"/>
          <w:lang w:eastAsia="zh-CN"/>
        </w:rPr>
        <w:t>名，现有在职职工</w:t>
      </w:r>
      <w:r>
        <w:rPr>
          <w:rFonts w:hint="eastAsia" w:ascii="Times New Roman" w:hAnsi="Times New Roman" w:eastAsia="仿宋_GB2312"/>
          <w:sz w:val="32"/>
          <w:szCs w:val="32"/>
          <w:lang w:val="en-US" w:eastAsia="zh-CN"/>
        </w:rPr>
        <w:t>33</w:t>
      </w:r>
      <w:r>
        <w:rPr>
          <w:rFonts w:hint="eastAsia" w:ascii="Times New Roman" w:hAnsi="Times New Roman" w:eastAsia="仿宋_GB2312"/>
          <w:sz w:val="32"/>
          <w:szCs w:val="32"/>
          <w:lang w:eastAsia="zh-CN"/>
        </w:rPr>
        <w:t>名，退休职工</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lang w:eastAsia="zh-CN"/>
        </w:rPr>
        <w:t>名。</w:t>
      </w:r>
    </w:p>
    <w:p w14:paraId="4096AC91">
      <w:pPr>
        <w:numPr>
          <w:ilvl w:val="0"/>
          <w:numId w:val="4"/>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项目资金基本情况包括预算资金基本性质、用途和主要内容、涉及范围等。</w:t>
      </w:r>
    </w:p>
    <w:p w14:paraId="1265CC19">
      <w:pPr>
        <w:widowControl w:val="0"/>
        <w:numPr>
          <w:ilvl w:val="0"/>
          <w:numId w:val="0"/>
        </w:numPr>
        <w:adjustRightInd w:val="0"/>
        <w:snapToGrid w:val="0"/>
        <w:spacing w:line="600" w:lineRule="exact"/>
        <w:ind w:firstLine="640" w:firstLineChars="200"/>
        <w:jc w:val="both"/>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我单位的项目资金主要用于农村公路养护工程、农村公路日常养护、安防工程、普通国省道养护。</w:t>
      </w:r>
    </w:p>
    <w:p w14:paraId="60EE65C6">
      <w:pPr>
        <w:numPr>
          <w:ilvl w:val="0"/>
          <w:numId w:val="4"/>
        </w:numPr>
        <w:adjustRightInd w:val="0"/>
        <w:snapToGrid w:val="0"/>
        <w:spacing w:line="600" w:lineRule="exact"/>
        <w:ind w:left="0" w:leftChars="0" w:firstLine="640" w:firstLineChars="200"/>
        <w:rPr>
          <w:rFonts w:ascii="Times New Roman" w:hAnsi="Times New Roman" w:eastAsia="仿宋_GB2312"/>
          <w:sz w:val="32"/>
          <w:szCs w:val="32"/>
        </w:rPr>
      </w:pPr>
      <w:r>
        <w:rPr>
          <w:rFonts w:ascii="Times New Roman" w:hAnsi="Times New Roman" w:eastAsia="仿宋_GB2312"/>
          <w:sz w:val="32"/>
          <w:szCs w:val="32"/>
        </w:rPr>
        <w:t>预算资金绩效目标，包括总体目标和年度目标。</w:t>
      </w:r>
    </w:p>
    <w:p w14:paraId="3F03DFC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0" w:firstLineChars="200"/>
        <w:jc w:val="both"/>
        <w:textAlignment w:val="auto"/>
        <w:rPr>
          <w:rFonts w:ascii="Times New Roman" w:hAnsi="Times New Roman" w:eastAsia="仿宋_GB2312"/>
          <w:sz w:val="32"/>
          <w:szCs w:val="32"/>
        </w:rPr>
      </w:pPr>
      <w:r>
        <w:rPr>
          <w:rFonts w:hint="eastAsia" w:eastAsia="仿宋_GB2312"/>
          <w:sz w:val="32"/>
          <w:szCs w:val="32"/>
        </w:rPr>
        <w:t>总体目标：年末全区干线公路优良率达90%以上，农村公路优良率达82%以上，全面完成年度农村公路养护工程及安防工程任务，工程质量合格率达100%。年度目标：年内创建一条农村公路养护示范路。</w:t>
      </w:r>
    </w:p>
    <w:p w14:paraId="236B6470">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二、项目资金使用及管理情况</w:t>
      </w:r>
    </w:p>
    <w:p w14:paraId="33D78127">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（一）项目资金及自筹资金的安排落实、总投入等情况。</w:t>
      </w:r>
    </w:p>
    <w:p w14:paraId="31306CF3">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项目</w:t>
      </w:r>
      <w:r>
        <w:rPr>
          <w:rFonts w:hint="eastAsia" w:ascii="Times New Roman" w:hAnsi="Times New Roman" w:eastAsia="仿宋_GB2312"/>
          <w:sz w:val="32"/>
          <w:szCs w:val="32"/>
        </w:rPr>
        <w:t>资金均于2022年内拨付到位，并按项目建设要求和进度投入到位。</w:t>
      </w:r>
    </w:p>
    <w:p w14:paraId="1E1DE1C3">
      <w:pPr>
        <w:numPr>
          <w:ilvl w:val="0"/>
          <w:numId w:val="5"/>
        </w:num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项目资金实际使用情况。</w:t>
      </w:r>
    </w:p>
    <w:p w14:paraId="031B9EA0">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农村公路养护工程：项目全年</w:t>
      </w:r>
      <w:r>
        <w:rPr>
          <w:rFonts w:hint="eastAsia" w:ascii="Times New Roman" w:hAnsi="Times New Roman" w:eastAsia="仿宋_GB2312"/>
          <w:sz w:val="32"/>
          <w:szCs w:val="32"/>
          <w:lang w:val="en-US" w:eastAsia="zh-CN"/>
        </w:rPr>
        <w:t>支出数242.10万元；</w:t>
      </w:r>
      <w:r>
        <w:rPr>
          <w:rFonts w:hint="eastAsia" w:ascii="Times New Roman" w:hAnsi="Times New Roman" w:eastAsia="仿宋_GB2312"/>
          <w:sz w:val="32"/>
          <w:szCs w:val="32"/>
        </w:rPr>
        <w:t>农村公路</w:t>
      </w:r>
      <w:r>
        <w:rPr>
          <w:rFonts w:hint="eastAsia" w:ascii="Times New Roman" w:hAnsi="Times New Roman" w:eastAsia="仿宋_GB2312"/>
          <w:sz w:val="32"/>
          <w:szCs w:val="32"/>
          <w:lang w:val="en-US" w:eastAsia="zh-CN"/>
        </w:rPr>
        <w:t>日常</w:t>
      </w:r>
      <w:r>
        <w:rPr>
          <w:rFonts w:hint="eastAsia" w:ascii="Times New Roman" w:hAnsi="Times New Roman" w:eastAsia="仿宋_GB2312"/>
          <w:sz w:val="32"/>
          <w:szCs w:val="32"/>
        </w:rPr>
        <w:t>养护：项目全年</w:t>
      </w:r>
      <w:r>
        <w:rPr>
          <w:rFonts w:hint="eastAsia" w:ascii="Times New Roman" w:hAnsi="Times New Roman" w:eastAsia="仿宋_GB2312"/>
          <w:sz w:val="32"/>
          <w:szCs w:val="32"/>
          <w:lang w:val="en-US" w:eastAsia="zh-CN"/>
        </w:rPr>
        <w:t>支出95.20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其中财政拨款资金77.19万元、其他资金18.01万元；</w:t>
      </w:r>
      <w:r>
        <w:rPr>
          <w:rFonts w:hint="eastAsia" w:ascii="Times New Roman" w:hAnsi="Times New Roman" w:eastAsia="仿宋_GB2312"/>
          <w:sz w:val="32"/>
          <w:szCs w:val="32"/>
        </w:rPr>
        <w:t>农村公路安防工程：项目全年</w:t>
      </w:r>
      <w:r>
        <w:rPr>
          <w:rFonts w:hint="eastAsia" w:ascii="Times New Roman" w:hAnsi="Times New Roman" w:eastAsia="仿宋_GB2312"/>
          <w:sz w:val="32"/>
          <w:szCs w:val="32"/>
          <w:lang w:val="en-US" w:eastAsia="zh-CN"/>
        </w:rPr>
        <w:t>支出23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G107号项目全年支出27.15万元。</w:t>
      </w:r>
    </w:p>
    <w:p w14:paraId="22661478">
      <w:pPr>
        <w:numPr>
          <w:ilvl w:val="0"/>
          <w:numId w:val="5"/>
        </w:numPr>
        <w:adjustRightInd w:val="0"/>
        <w:snapToGrid w:val="0"/>
        <w:spacing w:line="600" w:lineRule="exact"/>
        <w:ind w:left="0" w:leftChars="0" w:firstLine="640" w:firstLineChars="200"/>
        <w:rPr>
          <w:rFonts w:ascii="Times New Roman" w:hAnsi="Times New Roman" w:eastAsia="仿宋_GB2312"/>
          <w:sz w:val="32"/>
          <w:szCs w:val="32"/>
        </w:rPr>
      </w:pPr>
      <w:r>
        <w:rPr>
          <w:rFonts w:ascii="Times New Roman" w:hAnsi="Times New Roman" w:eastAsia="仿宋_GB2312"/>
          <w:sz w:val="32"/>
          <w:szCs w:val="32"/>
        </w:rPr>
        <w:t>项目资金管理情况分析，主要包括管理制度、办法的制订及执行情况。</w:t>
      </w:r>
    </w:p>
    <w:p w14:paraId="02817500">
      <w:pPr>
        <w:widowControl w:val="0"/>
        <w:numPr>
          <w:ilvl w:val="0"/>
          <w:numId w:val="0"/>
        </w:numPr>
        <w:adjustRightInd w:val="0"/>
        <w:snapToGrid w:val="0"/>
        <w:spacing w:line="600" w:lineRule="exact"/>
        <w:ind w:firstLine="640" w:firstLineChars="200"/>
        <w:jc w:val="both"/>
        <w:rPr>
          <w:rFonts w:ascii="Times New Roman" w:hAnsi="Times New Roman" w:eastAsia="仿宋_GB2312"/>
          <w:sz w:val="32"/>
          <w:szCs w:val="32"/>
        </w:rPr>
      </w:pPr>
      <w:r>
        <w:rPr>
          <w:rFonts w:hint="eastAsia" w:eastAsia="仿宋_GB2312"/>
          <w:sz w:val="32"/>
          <w:szCs w:val="32"/>
        </w:rPr>
        <w:t>我中心制定了《内控管理制度》及《财务管理制度》，采取有效措施，确保项目资金安安全高质高效运行。</w:t>
      </w:r>
      <w:r>
        <w:rPr>
          <w:rFonts w:hint="eastAsia" w:ascii="Times New Roman" w:hAnsi="Times New Roman" w:eastAsia="仿宋_GB2312"/>
          <w:sz w:val="32"/>
          <w:szCs w:val="32"/>
        </w:rPr>
        <w:t>严格按照相关会计制度进行会计核算和财务处理，做到财务处理及时、会计核算规范。</w:t>
      </w:r>
    </w:p>
    <w:p w14:paraId="361D6FE8">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三、项目支出组织实施情况</w:t>
      </w:r>
    </w:p>
    <w:p w14:paraId="7D089CD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（一）项目资金使用管理情况，主要包括项目资金及项目管理制度建设、日常检查监督管理等情况。</w:t>
      </w:r>
    </w:p>
    <w:p w14:paraId="2B1CD8A6">
      <w:pPr>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是在项目实施过程中，财务及各业务部门技术人员定期不定期对项目施工过程进行督促、检查、指导，确保项目按时、按质完成；二是严格按照工程建设和政府采购有关规定执行，确保公开、公平、公正；三是项目验收由我中心会同财政局组织相关单位综合检查、验收，并接受纪检、审计部门的审计和监督。</w:t>
      </w:r>
    </w:p>
    <w:p w14:paraId="3464834D">
      <w:pPr>
        <w:keepNext w:val="0"/>
        <w:keepLines w:val="0"/>
        <w:pageBreakBefore w:val="0"/>
        <w:widowControl w:val="0"/>
        <w:numPr>
          <w:ilvl w:val="0"/>
          <w:numId w:val="6"/>
        </w:numPr>
        <w:kinsoku/>
        <w:wordWrap/>
        <w:overflowPunct/>
        <w:topLinePunct w:val="0"/>
        <w:autoSpaceDE/>
        <w:autoSpaceDN/>
        <w:bidi w:val="0"/>
        <w:adjustRightInd w:val="0"/>
        <w:snapToGrid w:val="0"/>
        <w:spacing w:line="600" w:lineRule="exact"/>
        <w:ind w:left="0" w:leftChars="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项目组织实施情况，主要包括项目招投标、调整、竣工验收等情况。</w:t>
      </w:r>
    </w:p>
    <w:p w14:paraId="44F2F983">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1、农村公路养护工程</w:t>
      </w:r>
    </w:p>
    <w:p w14:paraId="3F5173CD">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石鼓区农村公路养护工程项目为X044线、CX06、Y008、C02A线等大中修项目，其中X044线全长6.995公里，CX06全长0.156公里，Y008全长0.640公里，C02A全长1.511公里。以上项目均已按时完工。主要施工内容为：换补板、白改黑等工程内容。按时按质完成年度农村公路养护工程任务，工程质量合格率达100%。</w:t>
      </w:r>
    </w:p>
    <w:p w14:paraId="7EF3F921">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2、农村公路安防工程</w:t>
      </w:r>
    </w:p>
    <w:p w14:paraId="6F7FD75A">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石鼓区农村公路生命安全防护工程项目为处治石鼓区C009等农村公路安全隐患，2021年石鼓区农村公路生命安全防护工程项目实施数量5.28公里，实际实施数量5.28公里，2022年石鼓区农村公路生命安全防护工程项目实施数量1.25公里，实际实施数量1.25公里，项目完工率均为100%，已按时完成。主要施工内容为：钢护栏、标志牌、减速带等交通防护设施安装。项目全年绩效目标已完成。</w:t>
      </w:r>
    </w:p>
    <w:p w14:paraId="74A48DB0">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3、农村公路养护</w:t>
      </w:r>
    </w:p>
    <w:p w14:paraId="76BC19DB">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石鼓区农村公路养护项目计划实施143km，完成年报内及年报外项目共计397.985km。项目完工率均为100%，已按时完成，年内成功创建一条“最美农村公路”。项目全年绩效目标已完成。</w:t>
      </w:r>
    </w:p>
    <w:p w14:paraId="703443D5">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我中心在项目实施过程中，严格按照《内控管理制度》、和《财务管理制度》，建立健全资金项目管理。每个项目按照规定的程序申请设立，审批文件、材料符合相关要求，事前经过必要的集体决策，保证了项目实施的完整性，项目调整及竣工验收都有相应的申请审批报告。</w:t>
      </w:r>
    </w:p>
    <w:p w14:paraId="1313082C">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14:paraId="0462ADAA">
      <w:pPr>
        <w:keepNext w:val="0"/>
        <w:keepLines w:val="0"/>
        <w:pageBreakBefore w:val="0"/>
        <w:widowControl w:val="0"/>
        <w:kinsoku/>
        <w:wordWrap/>
        <w:overflowPunct/>
        <w:topLinePunct w:val="0"/>
        <w:autoSpaceDE/>
        <w:autoSpaceDN/>
        <w:bidi w:val="0"/>
        <w:adjustRightInd w:val="0"/>
        <w:snapToGrid w:val="0"/>
        <w:spacing w:line="600" w:lineRule="exact"/>
        <w:ind w:leftChars="0" w:firstLine="640" w:firstLineChars="200"/>
        <w:textAlignment w:val="auto"/>
        <w:rPr>
          <w:rFonts w:ascii="Times New Roman" w:hAnsi="Times New Roman" w:eastAsia="楷体_GB2312"/>
          <w:sz w:val="32"/>
          <w:szCs w:val="32"/>
        </w:rPr>
      </w:pPr>
      <w:r>
        <w:rPr>
          <w:rFonts w:ascii="Times New Roman" w:hAnsi="Times New Roman" w:eastAsia="楷体_GB2312"/>
          <w:sz w:val="32"/>
          <w:szCs w:val="32"/>
        </w:rPr>
        <w:t>（一）项目支出决策情况。</w:t>
      </w:r>
    </w:p>
    <w:p w14:paraId="227A68C8">
      <w:pPr>
        <w:spacing w:line="560" w:lineRule="exact"/>
        <w:ind w:firstLine="640" w:firstLineChars="200"/>
        <w:rPr>
          <w:rFonts w:ascii="Times New Roman" w:hAnsi="Times New Roman" w:eastAsia="楷体_GB2312"/>
          <w:sz w:val="32"/>
          <w:szCs w:val="32"/>
        </w:rPr>
      </w:pPr>
      <w:r>
        <w:rPr>
          <w:rFonts w:hint="eastAsia" w:eastAsia="仿宋_GB2312"/>
          <w:sz w:val="32"/>
          <w:szCs w:val="32"/>
        </w:rPr>
        <w:t>项目建设流程、采购流程规范，材料符合相关要求，严格遵守内控管理制度和财务管理制度，遵守相关法律法规和相关管理规定。</w:t>
      </w:r>
    </w:p>
    <w:p w14:paraId="7783202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二</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项目支出过程情况。</w:t>
      </w:r>
    </w:p>
    <w:p w14:paraId="064B63F2">
      <w:pPr>
        <w:spacing w:line="560" w:lineRule="exact"/>
        <w:ind w:firstLine="640" w:firstLineChars="200"/>
        <w:rPr>
          <w:rFonts w:ascii="Times New Roman" w:hAnsi="Times New Roman" w:eastAsia="楷体_GB2312"/>
          <w:sz w:val="32"/>
          <w:szCs w:val="32"/>
        </w:rPr>
      </w:pPr>
      <w:r>
        <w:rPr>
          <w:rFonts w:hint="eastAsia" w:eastAsia="仿宋_GB2312"/>
          <w:sz w:val="32"/>
          <w:szCs w:val="32"/>
        </w:rPr>
        <w:t>项目资金使用基本符合国家财经法规、会计准则的规定，资金的拨付有完整的审批程序和手续，不存在截留、挤占、挪用、虚列支出等情况</w:t>
      </w:r>
    </w:p>
    <w:p w14:paraId="54EA4750">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三</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项目支出产出情况。</w:t>
      </w:r>
    </w:p>
    <w:p w14:paraId="6EAAF5AF">
      <w:pPr>
        <w:adjustRightInd w:val="0"/>
        <w:snapToGrid w:val="0"/>
        <w:spacing w:line="600" w:lineRule="exact"/>
        <w:ind w:firstLine="640" w:firstLineChars="200"/>
        <w:rPr>
          <w:rFonts w:hint="eastAsia" w:ascii="Times New Roman" w:hAnsi="Times New Roman" w:eastAsia="楷体_GB2312"/>
          <w:sz w:val="32"/>
          <w:szCs w:val="32"/>
          <w:lang w:eastAsia="zh-CN"/>
        </w:rPr>
      </w:pPr>
      <w:r>
        <w:rPr>
          <w:rFonts w:hint="eastAsia" w:eastAsia="仿宋_GB2312"/>
          <w:sz w:val="32"/>
          <w:szCs w:val="32"/>
        </w:rPr>
        <w:t>年末全区干线公路优良率达90%以上，农村公路优良率达82%以上，全面完成年度农村公路养护工程和安防工程任务，工程质量合格率达100%，创建了一条农村公路养护示范路。</w:t>
      </w:r>
    </w:p>
    <w:p w14:paraId="58C3F98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eastAsia="zh-CN"/>
        </w:rPr>
        <w:t>（</w:t>
      </w:r>
      <w:r>
        <w:rPr>
          <w:rFonts w:hint="eastAsia" w:ascii="Times New Roman" w:hAnsi="Times New Roman" w:eastAsia="楷体_GB2312"/>
          <w:sz w:val="32"/>
          <w:szCs w:val="32"/>
          <w:lang w:val="en-US" w:eastAsia="zh-CN"/>
        </w:rPr>
        <w:t>四</w:t>
      </w:r>
      <w:r>
        <w:rPr>
          <w:rFonts w:hint="eastAsia" w:ascii="Times New Roman" w:hAnsi="Times New Roman" w:eastAsia="楷体_GB2312"/>
          <w:sz w:val="32"/>
          <w:szCs w:val="32"/>
          <w:lang w:eastAsia="zh-CN"/>
        </w:rPr>
        <w:t>）</w:t>
      </w:r>
      <w:r>
        <w:rPr>
          <w:rFonts w:ascii="Times New Roman" w:hAnsi="Times New Roman" w:eastAsia="楷体_GB2312"/>
          <w:sz w:val="32"/>
          <w:szCs w:val="32"/>
        </w:rPr>
        <w:t>项目支出效益情况。</w:t>
      </w:r>
    </w:p>
    <w:p w14:paraId="67C8751D">
      <w:pPr>
        <w:spacing w:line="560" w:lineRule="exact"/>
        <w:ind w:firstLine="640" w:firstLineChars="200"/>
        <w:rPr>
          <w:rFonts w:eastAsia="仿宋_GB2312"/>
          <w:sz w:val="32"/>
          <w:szCs w:val="32"/>
        </w:rPr>
      </w:pPr>
      <w:r>
        <w:rPr>
          <w:rFonts w:hint="eastAsia" w:eastAsia="仿宋_GB2312"/>
          <w:sz w:val="32"/>
          <w:szCs w:val="32"/>
        </w:rPr>
        <w:t>各项交通建设项目为道路沿线及运输站场附近的群众提供的收入增加，构建外畅内联、结构合理、安全高效公路网。将绿色发展要求贯穿公路规划、设计、建设、运营、管理、服务全过程，着力建设资源节约、生态环保、节能高效、服务提升的绿色公路。</w:t>
      </w:r>
    </w:p>
    <w:p w14:paraId="70170B99">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五、主要经验做法、存在的问题及原因分析</w:t>
      </w:r>
    </w:p>
    <w:p w14:paraId="401D6E11">
      <w:pPr>
        <w:spacing w:line="560" w:lineRule="exact"/>
        <w:ind w:firstLine="640" w:firstLineChars="200"/>
        <w:rPr>
          <w:rFonts w:eastAsia="仿宋_GB2312"/>
          <w:sz w:val="32"/>
          <w:szCs w:val="32"/>
        </w:rPr>
      </w:pPr>
      <w:r>
        <w:rPr>
          <w:rFonts w:hint="eastAsia" w:eastAsia="仿宋_GB2312"/>
          <w:sz w:val="32"/>
          <w:szCs w:val="32"/>
        </w:rPr>
        <w:t>2022我分中心</w:t>
      </w:r>
      <w:r>
        <w:rPr>
          <w:rFonts w:hint="eastAsia" w:eastAsia="仿宋_GB2312"/>
          <w:sz w:val="32"/>
          <w:szCs w:val="32"/>
          <w:lang w:val="en-US" w:eastAsia="zh-CN"/>
        </w:rPr>
        <w:t>项目</w:t>
      </w:r>
      <w:r>
        <w:rPr>
          <w:rFonts w:hint="eastAsia" w:eastAsia="仿宋_GB2312"/>
          <w:sz w:val="32"/>
          <w:szCs w:val="32"/>
        </w:rPr>
        <w:t>资金的使用，取得了一定的成绩，但仍存在着一些困难和问题。</w:t>
      </w:r>
    </w:p>
    <w:p w14:paraId="709112F1">
      <w:pPr>
        <w:spacing w:line="560" w:lineRule="exact"/>
        <w:ind w:firstLine="640" w:firstLineChars="200"/>
        <w:rPr>
          <w:rFonts w:eastAsia="黑体"/>
          <w:sz w:val="32"/>
          <w:szCs w:val="32"/>
        </w:rPr>
      </w:pPr>
      <w:r>
        <w:rPr>
          <w:rFonts w:hint="eastAsia" w:eastAsia="仿宋_GB2312"/>
          <w:sz w:val="32"/>
          <w:szCs w:val="32"/>
        </w:rPr>
        <w:t>一是部分养护工程项目保留了质保金或项目还未结算，导致预算执行率未达100%；二是由于交通专项资金到位进度慢，部分资金拨付集中在年末，一定程度上影响项目进度；三是专项资金存在一定的缺口，只能采取先急后缓的方式进行；四是对绩效理解还不够深入，缺乏绩效评价专业人才。</w:t>
      </w:r>
    </w:p>
    <w:p w14:paraId="729DFE23">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六、有关建议</w:t>
      </w:r>
    </w:p>
    <w:p w14:paraId="0C3BEA44">
      <w:pPr>
        <w:adjustRightInd w:val="0"/>
        <w:snapToGrid w:val="0"/>
        <w:spacing w:line="600" w:lineRule="exact"/>
        <w:ind w:firstLine="640" w:firstLineChars="200"/>
        <w:rPr>
          <w:rFonts w:ascii="Times New Roman" w:hAnsi="Times New Roman" w:eastAsia="黑体"/>
          <w:sz w:val="32"/>
          <w:szCs w:val="32"/>
        </w:rPr>
      </w:pPr>
      <w:r>
        <w:rPr>
          <w:rFonts w:hint="eastAsia" w:eastAsia="仿宋_GB2312"/>
          <w:sz w:val="32"/>
          <w:szCs w:val="32"/>
        </w:rPr>
        <w:t>资金及时拨付到位，加大工程资金投入，确保大中修工程和安防工程及时得到实施；加大日常养护经费投入；增加绩效评价工作专业培训，为改进绩效提供指导。</w:t>
      </w:r>
    </w:p>
    <w:p w14:paraId="11B4A981">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七、其他需要说明的问题</w:t>
      </w:r>
    </w:p>
    <w:p w14:paraId="0EA1A2E6">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无</w:t>
      </w:r>
    </w:p>
    <w:p w14:paraId="1C792DB9">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附件：项目支出绩效自评表</w:t>
      </w:r>
    </w:p>
    <w:p w14:paraId="374AE11D"/>
    <w:sectPr>
      <w:pgSz w:w="11906" w:h="16838"/>
      <w:pgMar w:top="1134" w:right="1689" w:bottom="1134" w:left="168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0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0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0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rPr>
    </w:lvl>
  </w:abstractNum>
  <w:abstractNum w:abstractNumId="1">
    <w:nsid w:val="00000001"/>
    <w:multiLevelType w:val="singleLevel"/>
    <w:tmpl w:val="00000001"/>
    <w:lvl w:ilvl="0" w:tentative="0">
      <w:start w:val="2"/>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hint="eastAsia"/>
      </w:rPr>
    </w:lvl>
  </w:abstractNum>
  <w:abstractNum w:abstractNumId="3">
    <w:nsid w:val="00000003"/>
    <w:multiLevelType w:val="singleLevel"/>
    <w:tmpl w:val="00000003"/>
    <w:lvl w:ilvl="0" w:tentative="0">
      <w:start w:val="5"/>
      <w:numFmt w:val="chineseCounting"/>
      <w:suff w:val="nothing"/>
      <w:lvlText w:val="%1、"/>
      <w:lvlJc w:val="left"/>
      <w:rPr>
        <w:rFonts w:hint="eastAsia"/>
      </w:rPr>
    </w:lvl>
  </w:abstractNum>
  <w:abstractNum w:abstractNumId="4">
    <w:nsid w:val="00000004"/>
    <w:multiLevelType w:val="singleLevel"/>
    <w:tmpl w:val="00000004"/>
    <w:lvl w:ilvl="0" w:tentative="0">
      <w:start w:val="2"/>
      <w:numFmt w:val="chineseCounting"/>
      <w:suff w:val="nothing"/>
      <w:lvlText w:val="（%1）"/>
      <w:lvlJc w:val="left"/>
      <w:rPr>
        <w:rFonts w:hint="eastAsia"/>
      </w:rPr>
    </w:lvl>
  </w:abstractNum>
  <w:abstractNum w:abstractNumId="5">
    <w:nsid w:val="00000005"/>
    <w:multiLevelType w:val="singleLevel"/>
    <w:tmpl w:val="00000005"/>
    <w:lvl w:ilvl="0" w:tentative="0">
      <w:start w:val="1"/>
      <w:numFmt w:val="chineseCounting"/>
      <w:suff w:val="nothing"/>
      <w:lvlText w:val="%1、"/>
      <w:lvlJc w:val="left"/>
      <w:rPr>
        <w:rFonts w:hint="eastAsia"/>
      </w:rPr>
    </w:lvl>
  </w:abstractNum>
  <w:num w:numId="1">
    <w:abstractNumId w:val="5"/>
  </w:num>
  <w:num w:numId="2">
    <w:abstractNumId w:val="3"/>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426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3352</Words>
  <Characters>3707</Characters>
  <Paragraphs>1320</Paragraphs>
  <TotalTime>3</TotalTime>
  <ScaleCrop>false</ScaleCrop>
  <LinksUpToDate>false</LinksUpToDate>
  <CharactersWithSpaces>4029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2023-03-13T08:16:00Z</dcterms:created>
  <dc:creator>张ly</dc:creator>
  <cp:lastModifiedBy>邓婷</cp:lastModifiedBy>
  <cp:lastPrinted>2023-04-04T02:56:00Z</cp:lastPrinted>
  <dcterms:modified xsi:type="dcterms:W3CDTF">2024-12-09T06:29:26Z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915a5dff72fe4e519349a0dfed5e00ff_23</vt:lpwstr>
  </property>
</Properties>
</file>