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00"/>
        <w:rPr>
          <w:rFonts w:ascii="Times New Roman" w:hAnsi="Times New Roman" w:eastAsia="仿宋_GB2312"/>
          <w:kern w:val="0"/>
          <w:sz w:val="32"/>
          <w:szCs w:val="32"/>
        </w:rPr>
      </w:pPr>
      <w:r>
        <w:rPr>
          <w:rFonts w:hint="eastAsia" w:ascii="黑体" w:hAnsi="黑体" w:eastAsia="黑体" w:cs="黑体"/>
          <w:kern w:val="0"/>
          <w:sz w:val="32"/>
          <w:szCs w:val="32"/>
        </w:rPr>
        <w:t>附件</w:t>
      </w:r>
      <w:r>
        <w:rPr>
          <w:rFonts w:ascii="Times New Roman" w:hAnsi="Times New Roman" w:eastAsia="仿宋_GB2312"/>
          <w:kern w:val="0"/>
          <w:sz w:val="32"/>
          <w:szCs w:val="32"/>
        </w:rPr>
        <w:t>1</w:t>
      </w:r>
    </w:p>
    <w:p>
      <w:pPr>
        <w:rPr>
          <w:rFonts w:ascii="Times New Roman" w:hAnsi="Times New Roman" w:eastAsia="方正小标宋简体"/>
          <w:sz w:val="48"/>
          <w:szCs w:val="48"/>
        </w:rPr>
      </w:pPr>
    </w:p>
    <w:p>
      <w:pPr>
        <w:rPr>
          <w:rFonts w:ascii="Times New Roman" w:hAnsi="Times New Roman" w:eastAsia="方正小标宋简体"/>
          <w:sz w:val="48"/>
          <w:szCs w:val="48"/>
        </w:rPr>
      </w:pPr>
    </w:p>
    <w:p>
      <w:pPr>
        <w:rPr>
          <w:rFonts w:ascii="Times New Roman" w:hAnsi="Times New Roman" w:eastAsia="方正小标宋简体"/>
          <w:sz w:val="48"/>
          <w:szCs w:val="48"/>
        </w:rPr>
      </w:pPr>
    </w:p>
    <w:p>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rPr>
        <w:t>2</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pPr>
        <w:jc w:val="center"/>
        <w:rPr>
          <w:rFonts w:ascii="Times New Roman" w:hAnsi="Times New Roman" w:eastAsia="黑体"/>
          <w:sz w:val="32"/>
          <w:szCs w:val="32"/>
        </w:rPr>
      </w:pPr>
      <w:bookmarkStart w:id="2" w:name="_GoBack"/>
      <w:bookmarkEnd w:id="2"/>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rPr>
          <w:rFonts w:ascii="Times New Roman" w:hAnsi="Times New Roman" w:eastAsia="黑体"/>
          <w:sz w:val="32"/>
          <w:szCs w:val="32"/>
        </w:rPr>
      </w:pPr>
    </w:p>
    <w:p>
      <w:pPr>
        <w:jc w:val="center"/>
        <w:rPr>
          <w:rFonts w:ascii="Times New Roman" w:hAnsi="Times New Roman"/>
          <w:sz w:val="36"/>
          <w:szCs w:val="36"/>
        </w:rPr>
      </w:pPr>
    </w:p>
    <w:p>
      <w:pPr>
        <w:jc w:val="center"/>
        <w:rPr>
          <w:rFonts w:ascii="Times New Roman" w:hAnsi="Times New Roman"/>
          <w:sz w:val="36"/>
          <w:szCs w:val="36"/>
        </w:rPr>
      </w:pPr>
    </w:p>
    <w:p>
      <w:pPr>
        <w:jc w:val="center"/>
        <w:rPr>
          <w:rFonts w:hint="eastAsia" w:ascii="Times New Roman" w:hAnsi="Times New Roman"/>
          <w:sz w:val="36"/>
          <w:szCs w:val="36"/>
          <w:lang w:eastAsia="zh-CN"/>
        </w:rPr>
      </w:pPr>
      <w:r>
        <w:rPr>
          <w:rFonts w:ascii="Times New Roman" w:hAnsi="Times New Roman"/>
          <w:sz w:val="36"/>
          <w:szCs w:val="36"/>
        </w:rPr>
        <w:t>单位名称</w:t>
      </w:r>
      <w:r>
        <w:rPr>
          <w:rFonts w:hint="eastAsia" w:ascii="Times New Roman" w:hAnsi="Times New Roman"/>
          <w:sz w:val="36"/>
          <w:szCs w:val="36"/>
          <w:lang w:eastAsia="zh-CN"/>
        </w:rPr>
        <w:t>：衡阳市公路建设养护中心雁峰分中心</w:t>
      </w:r>
    </w:p>
    <w:p>
      <w:pPr>
        <w:jc w:val="center"/>
        <w:rPr>
          <w:rFonts w:ascii="Times New Roman" w:hAnsi="Times New Roman"/>
          <w:sz w:val="36"/>
          <w:szCs w:val="36"/>
        </w:rPr>
      </w:pPr>
      <w:r>
        <w:rPr>
          <w:rFonts w:hint="eastAsia" w:ascii="Times New Roman" w:hAnsi="Times New Roman"/>
          <w:sz w:val="36"/>
          <w:szCs w:val="36"/>
          <w:lang w:eastAsia="zh-CN"/>
        </w:rPr>
        <w:t>（</w:t>
      </w:r>
      <w:r>
        <w:rPr>
          <w:rFonts w:hint="eastAsia" w:ascii="Times New Roman" w:hAnsi="Times New Roman"/>
          <w:sz w:val="36"/>
          <w:szCs w:val="36"/>
          <w:lang w:val="en-US" w:eastAsia="zh-CN"/>
        </w:rPr>
        <w:t>盖章</w:t>
      </w:r>
      <w:r>
        <w:rPr>
          <w:rFonts w:hint="eastAsia" w:ascii="Times New Roman" w:hAnsi="Times New Roman"/>
          <w:sz w:val="36"/>
          <w:szCs w:val="36"/>
          <w:lang w:eastAsia="zh-CN"/>
        </w:rPr>
        <w:t>）</w:t>
      </w:r>
    </w:p>
    <w:p>
      <w:pPr>
        <w:ind w:firstLine="360" w:firstLineChars="100"/>
        <w:jc w:val="left"/>
        <w:rPr>
          <w:rFonts w:hint="eastAsia" w:ascii="Times New Roman" w:hAnsi="Times New Roman" w:eastAsia="宋体"/>
          <w:sz w:val="36"/>
          <w:szCs w:val="36"/>
          <w:lang w:eastAsia="zh-CN"/>
        </w:rPr>
      </w:pPr>
      <w:r>
        <w:rPr>
          <w:rFonts w:hint="eastAsia" w:ascii="Times New Roman" w:hAnsi="Times New Roman"/>
          <w:sz w:val="36"/>
          <w:szCs w:val="36"/>
          <w:lang w:val="en-US" w:eastAsia="zh-CN"/>
        </w:rPr>
        <w:t>主要负责人签字</w:t>
      </w:r>
      <w:r>
        <w:rPr>
          <w:rFonts w:ascii="Times New Roman" w:hAnsi="Times New Roman"/>
          <w:sz w:val="36"/>
          <w:szCs w:val="36"/>
        </w:rPr>
        <w:t>：</w:t>
      </w:r>
      <w:r>
        <w:rPr>
          <w:rFonts w:hint="eastAsia" w:ascii="Times New Roman" w:hAnsi="Times New Roman"/>
          <w:sz w:val="36"/>
          <w:szCs w:val="36"/>
          <w:lang w:eastAsia="zh-CN"/>
        </w:rPr>
        <w:t>陈述</w:t>
      </w:r>
    </w:p>
    <w:p>
      <w:pPr>
        <w:jc w:val="center"/>
        <w:rPr>
          <w:rFonts w:hint="eastAsia" w:ascii="Times New Roman" w:hAnsi="Times New Roman"/>
          <w:sz w:val="36"/>
          <w:szCs w:val="36"/>
          <w:lang w:eastAsia="zh-CN"/>
        </w:rPr>
      </w:pPr>
    </w:p>
    <w:p>
      <w:pPr>
        <w:jc w:val="center"/>
        <w:rPr>
          <w:rFonts w:ascii="Times New Roman" w:hAnsi="Times New Roman" w:eastAsia="黑体"/>
          <w:sz w:val="36"/>
          <w:szCs w:val="36"/>
        </w:rPr>
      </w:pPr>
    </w:p>
    <w:p>
      <w:pPr>
        <w:tabs>
          <w:tab w:val="left" w:pos="2747"/>
          <w:tab w:val="center" w:pos="4155"/>
        </w:tabs>
        <w:jc w:val="left"/>
        <w:rPr>
          <w:rFonts w:ascii="Times New Roman" w:hAnsi="Times New Roman" w:eastAsia="黑体"/>
          <w:sz w:val="32"/>
          <w:szCs w:val="32"/>
        </w:rPr>
      </w:pPr>
      <w:r>
        <w:rPr>
          <w:rFonts w:hint="eastAsia" w:ascii="Times New Roman" w:hAnsi="Times New Roman" w:eastAsia="黑体"/>
          <w:sz w:val="32"/>
          <w:szCs w:val="32"/>
          <w:lang w:eastAsia="zh-CN"/>
        </w:rPr>
        <w:tab/>
      </w:r>
      <w:r>
        <w:rPr>
          <w:rFonts w:hint="eastAsia" w:ascii="Times New Roman" w:hAnsi="Times New Roman" w:eastAsia="黑体"/>
          <w:sz w:val="32"/>
          <w:szCs w:val="32"/>
          <w:lang w:val="en-US" w:eastAsia="zh-CN"/>
        </w:rPr>
        <w:t>2023</w:t>
      </w:r>
      <w:r>
        <w:rPr>
          <w:rFonts w:hint="eastAsia" w:ascii="Times New Roman" w:hAnsi="Times New Roman" w:eastAsia="黑体"/>
          <w:sz w:val="32"/>
          <w:szCs w:val="32"/>
          <w:lang w:eastAsia="zh-CN"/>
        </w:rPr>
        <w:tab/>
      </w:r>
      <w:r>
        <w:rPr>
          <w:rFonts w:ascii="Times New Roman" w:hAnsi="Times New Roman" w:eastAsia="黑体"/>
          <w:sz w:val="32"/>
          <w:szCs w:val="32"/>
        </w:rPr>
        <w:t xml:space="preserve">年 </w:t>
      </w:r>
      <w:r>
        <w:rPr>
          <w:rFonts w:hint="eastAsia" w:ascii="Times New Roman" w:hAnsi="Times New Roman" w:eastAsia="黑体"/>
          <w:sz w:val="32"/>
          <w:szCs w:val="32"/>
          <w:lang w:val="en-US" w:eastAsia="zh-CN"/>
        </w:rPr>
        <w:t>3</w:t>
      </w:r>
      <w:r>
        <w:rPr>
          <w:rFonts w:ascii="Times New Roman" w:hAnsi="Times New Roman" w:eastAsia="黑体"/>
          <w:sz w:val="32"/>
          <w:szCs w:val="32"/>
        </w:rPr>
        <w:t xml:space="preserve">月 </w:t>
      </w:r>
      <w:r>
        <w:rPr>
          <w:rFonts w:hint="eastAsia" w:ascii="Times New Roman" w:hAnsi="Times New Roman" w:eastAsia="黑体"/>
          <w:sz w:val="32"/>
          <w:szCs w:val="32"/>
          <w:lang w:val="en-US" w:eastAsia="zh-CN"/>
        </w:rPr>
        <w:t>31</w:t>
      </w:r>
      <w:r>
        <w:rPr>
          <w:rFonts w:ascii="Times New Roman" w:hAnsi="Times New Roman" w:eastAsia="黑体"/>
          <w:sz w:val="32"/>
          <w:szCs w:val="32"/>
        </w:rPr>
        <w:t>日</w:t>
      </w:r>
    </w:p>
    <w:p>
      <w:pPr>
        <w:jc w:val="center"/>
        <w:rPr>
          <w:rFonts w:ascii="Times New Roman" w:hAnsi="Times New Roman" w:eastAsia="黑体"/>
          <w:sz w:val="32"/>
          <w:szCs w:val="32"/>
        </w:rPr>
      </w:pPr>
    </w:p>
    <w:p>
      <w:pPr>
        <w:spacing w:line="600" w:lineRule="exact"/>
        <w:rPr>
          <w:rFonts w:ascii="Times New Roman" w:hAnsi="Times New Roman" w:eastAsia="方正小标宋简体"/>
          <w:sz w:val="44"/>
          <w:szCs w:val="44"/>
        </w:rPr>
      </w:pPr>
    </w:p>
    <w:p>
      <w:pPr>
        <w:keepNext w:val="0"/>
        <w:keepLines w:val="0"/>
        <w:pageBreakBefore w:val="0"/>
        <w:kinsoku/>
        <w:wordWrap/>
        <w:overflowPunct/>
        <w:topLinePunct w:val="0"/>
        <w:autoSpaceDE/>
        <w:autoSpaceDN/>
        <w:bidi w:val="0"/>
        <w:adjustRightInd/>
        <w:snapToGrid/>
        <w:spacing w:line="40" w:lineRule="atLeast"/>
        <w:jc w:val="both"/>
        <w:textAlignment w:val="auto"/>
        <w:rPr>
          <w:rFonts w:ascii="Times New Roman" w:hAnsi="Times New Roman" w:eastAsia="黑体"/>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jc w:val="center"/>
        <w:textAlignment w:val="auto"/>
        <w:rPr>
          <w:rFonts w:ascii="Times New Roman" w:hAnsi="Times New Roman" w:eastAsia="黑体"/>
          <w:color w:val="000000" w:themeColor="text1"/>
          <w:sz w:val="32"/>
          <w:szCs w:val="32"/>
          <w:highlight w:val="none"/>
          <w14:textFill>
            <w14:solidFill>
              <w14:schemeClr w14:val="tx1"/>
            </w14:solidFill>
          </w14:textFill>
        </w:rPr>
      </w:pPr>
    </w:p>
    <w:p>
      <w:pPr>
        <w:spacing w:line="600" w:lineRule="exact"/>
        <w:jc w:val="center"/>
        <w:rPr>
          <w:rFonts w:hint="eastAsia"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部门整体支出绩效评价报告</w:t>
      </w:r>
    </w:p>
    <w:p>
      <w:pPr>
        <w:spacing w:line="600" w:lineRule="exact"/>
        <w:jc w:val="center"/>
        <w:rPr>
          <w:rFonts w:hint="eastAsia" w:ascii="Times New Roman" w:hAnsi="Times New Roman" w:eastAsia="方正小标宋简体" w:cs="Times New Roman"/>
          <w:sz w:val="44"/>
          <w:szCs w:val="44"/>
          <w:lang w:val="en-US" w:eastAsia="en-US"/>
        </w:rPr>
      </w:pPr>
    </w:p>
    <w:p>
      <w:pPr>
        <w:spacing w:line="600" w:lineRule="exact"/>
        <w:jc w:val="center"/>
        <w:rPr>
          <w:rFonts w:hint="eastAsia" w:ascii="Times New Roman" w:hAnsi="Times New Roman" w:eastAsia="方正小标宋简体" w:cs="Times New Roman"/>
          <w:sz w:val="44"/>
          <w:szCs w:val="44"/>
          <w:lang w:val="en-US" w:eastAsia="en-US"/>
        </w:rPr>
      </w:pPr>
    </w:p>
    <w:p>
      <w:pPr>
        <w:pStyle w:val="17"/>
        <w:widowControl/>
        <w:ind w:firstLine="640"/>
        <w:rPr>
          <w:rFonts w:hint="eastAsia" w:ascii="Times New Roman" w:hAnsi="Times New Roman" w:eastAsia="黑体" w:cs="Times New Roman"/>
          <w:sz w:val="32"/>
          <w:szCs w:val="32"/>
          <w:lang w:val="en-US" w:eastAsia="en-US"/>
        </w:rPr>
      </w:pPr>
      <w:r>
        <w:rPr>
          <w:rFonts w:hint="eastAsia" w:ascii="Times New Roman" w:hAnsi="Times New Roman" w:eastAsia="黑体" w:cs="Times New Roman"/>
          <w:sz w:val="32"/>
          <w:szCs w:val="32"/>
          <w:lang w:val="en-US" w:eastAsia="en-US"/>
        </w:rPr>
        <w:t xml:space="preserve">一、 </w:t>
      </w:r>
      <w:r>
        <w:rPr>
          <w:rFonts w:eastAsia="黑体"/>
          <w:sz w:val="32"/>
          <w:szCs w:val="32"/>
        </w:rPr>
        <w:t>部门、单位基本情况</w:t>
      </w:r>
    </w:p>
    <w:p>
      <w:pPr>
        <w:keepNext w:val="0"/>
        <w:keepLines w:val="0"/>
        <w:pageBreakBefore w:val="0"/>
        <w:kinsoku/>
        <w:wordWrap/>
        <w:overflowPunct/>
        <w:topLinePunct w:val="0"/>
        <w:autoSpaceDE/>
        <w:autoSpaceDN/>
        <w:bidi w:val="0"/>
        <w:adjustRightInd/>
        <w:snapToGrid/>
        <w:spacing w:before="305" w:after="0" w:line="40" w:lineRule="atLeast"/>
        <w:ind w:left="638" w:right="0" w:firstLine="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（一）单位主要职责</w:t>
      </w:r>
    </w:p>
    <w:p>
      <w:pPr>
        <w:keepNext w:val="0"/>
        <w:keepLines w:val="0"/>
        <w:pageBreakBefore w:val="0"/>
        <w:kinsoku/>
        <w:wordWrap/>
        <w:overflowPunct/>
        <w:topLinePunct w:val="0"/>
        <w:autoSpaceDE/>
        <w:autoSpaceDN/>
        <w:bidi w:val="0"/>
        <w:adjustRightInd/>
        <w:snapToGrid/>
        <w:spacing w:before="283" w:after="0" w:line="40" w:lineRule="atLeast"/>
        <w:ind w:left="960" w:right="0" w:firstLine="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为经济社会发展提供公路交通保障。国省干线公路、</w:t>
      </w:r>
    </w:p>
    <w:p>
      <w:pPr>
        <w:keepNext w:val="0"/>
        <w:keepLines w:val="0"/>
        <w:pageBreakBefore w:val="0"/>
        <w:kinsoku/>
        <w:wordWrap/>
        <w:overflowPunct/>
        <w:topLinePunct w:val="0"/>
        <w:autoSpaceDE/>
        <w:autoSpaceDN/>
        <w:bidi w:val="0"/>
        <w:adjustRightInd/>
        <w:snapToGrid/>
        <w:spacing w:before="192" w:after="0" w:line="40" w:lineRule="atLeast"/>
        <w:ind w:left="0" w:right="0" w:firstLine="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农村公路建设与养护；公路抢修与保通公路绿化；路产路权</w:t>
      </w:r>
    </w:p>
    <w:p>
      <w:pPr>
        <w:keepNext w:val="0"/>
        <w:keepLines w:val="0"/>
        <w:pageBreakBefore w:val="0"/>
        <w:kinsoku/>
        <w:wordWrap/>
        <w:overflowPunct/>
        <w:topLinePunct w:val="0"/>
        <w:autoSpaceDE/>
        <w:autoSpaceDN/>
        <w:bidi w:val="0"/>
        <w:adjustRightInd/>
        <w:snapToGrid/>
        <w:spacing w:before="192" w:after="0" w:line="40" w:lineRule="atLeast"/>
        <w:ind w:left="0" w:right="0" w:firstLine="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维护；协助路政管理。</w:t>
      </w:r>
    </w:p>
    <w:p>
      <w:pPr>
        <w:keepNext w:val="0"/>
        <w:keepLines w:val="0"/>
        <w:pageBreakBefore w:val="0"/>
        <w:kinsoku/>
        <w:wordWrap/>
        <w:overflowPunct/>
        <w:topLinePunct w:val="0"/>
        <w:autoSpaceDE/>
        <w:autoSpaceDN/>
        <w:bidi w:val="0"/>
        <w:adjustRightInd/>
        <w:snapToGrid/>
        <w:spacing w:before="189" w:after="0" w:line="40" w:lineRule="atLeast"/>
        <w:ind w:left="638" w:right="0" w:firstLine="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承担辖区内国省干线公路和农村公路、桥梁的建设、养</w:t>
      </w:r>
    </w:p>
    <w:p>
      <w:pPr>
        <w:keepNext w:val="0"/>
        <w:keepLines w:val="0"/>
        <w:pageBreakBefore w:val="0"/>
        <w:kinsoku/>
        <w:wordWrap/>
        <w:overflowPunct/>
        <w:topLinePunct w:val="0"/>
        <w:autoSpaceDE/>
        <w:autoSpaceDN/>
        <w:bidi w:val="0"/>
        <w:adjustRightInd/>
        <w:snapToGrid/>
        <w:spacing w:before="192" w:after="0" w:line="40" w:lineRule="atLeast"/>
        <w:ind w:left="0" w:right="0" w:firstLine="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护和管理职责。</w:t>
      </w:r>
    </w:p>
    <w:p>
      <w:pPr>
        <w:keepNext w:val="0"/>
        <w:keepLines w:val="0"/>
        <w:pageBreakBefore w:val="0"/>
        <w:kinsoku/>
        <w:wordWrap/>
        <w:overflowPunct/>
        <w:topLinePunct w:val="0"/>
        <w:autoSpaceDE/>
        <w:autoSpaceDN/>
        <w:bidi w:val="0"/>
        <w:adjustRightInd/>
        <w:snapToGrid/>
        <w:spacing w:before="192" w:after="0" w:line="40" w:lineRule="atLeast"/>
        <w:ind w:left="638" w:right="0" w:firstLine="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负责编制并组织实施辖区内管养公路的发展规划和养</w:t>
      </w:r>
    </w:p>
    <w:p>
      <w:pPr>
        <w:keepNext w:val="0"/>
        <w:keepLines w:val="0"/>
        <w:pageBreakBefore w:val="0"/>
        <w:kinsoku/>
        <w:wordWrap/>
        <w:overflowPunct/>
        <w:topLinePunct w:val="0"/>
        <w:autoSpaceDE/>
        <w:autoSpaceDN/>
        <w:bidi w:val="0"/>
        <w:adjustRightInd/>
        <w:snapToGrid/>
        <w:spacing w:before="189" w:after="0" w:line="40" w:lineRule="atLeast"/>
        <w:ind w:left="0" w:right="0" w:firstLine="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护计划。</w:t>
      </w:r>
    </w:p>
    <w:p>
      <w:pPr>
        <w:keepNext w:val="0"/>
        <w:keepLines w:val="0"/>
        <w:pageBreakBefore w:val="0"/>
        <w:kinsoku/>
        <w:wordWrap/>
        <w:overflowPunct/>
        <w:topLinePunct w:val="0"/>
        <w:autoSpaceDE/>
        <w:autoSpaceDN/>
        <w:bidi w:val="0"/>
        <w:adjustRightInd/>
        <w:snapToGrid/>
        <w:spacing w:before="192" w:after="0" w:line="40" w:lineRule="atLeast"/>
        <w:ind w:left="638" w:right="0" w:firstLine="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负责所管养公路及附属设施的建设、日常养护、改造升</w:t>
      </w:r>
    </w:p>
    <w:p>
      <w:pPr>
        <w:keepNext w:val="0"/>
        <w:keepLines w:val="0"/>
        <w:pageBreakBefore w:val="0"/>
        <w:kinsoku/>
        <w:wordWrap/>
        <w:overflowPunct/>
        <w:topLinePunct w:val="0"/>
        <w:autoSpaceDE/>
        <w:autoSpaceDN/>
        <w:bidi w:val="0"/>
        <w:adjustRightInd/>
        <w:snapToGrid/>
        <w:spacing w:before="192" w:after="0" w:line="40" w:lineRule="atLeast"/>
        <w:ind w:left="0" w:right="0" w:firstLine="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级、绿化工作、公路安防工程等。</w:t>
      </w:r>
    </w:p>
    <w:p>
      <w:pPr>
        <w:keepNext w:val="0"/>
        <w:keepLines w:val="0"/>
        <w:pageBreakBefore w:val="0"/>
        <w:widowControl w:val="0"/>
        <w:kinsoku/>
        <w:wordWrap/>
        <w:overflowPunct/>
        <w:topLinePunct w:val="0"/>
        <w:autoSpaceDE/>
        <w:autoSpaceDN/>
        <w:bidi w:val="0"/>
        <w:adjustRightInd/>
        <w:snapToGrid/>
        <w:spacing w:before="189" w:after="0" w:line="360" w:lineRule="auto"/>
        <w:ind w:right="0" w:firstLine="640" w:firstLineChars="20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协助所管养公路、桥梁的路政管理；参与、协助公路沿</w:t>
      </w:r>
    </w:p>
    <w:p>
      <w:pPr>
        <w:keepNext w:val="0"/>
        <w:keepLines w:val="0"/>
        <w:pageBreakBefore w:val="0"/>
        <w:widowControl w:val="0"/>
        <w:kinsoku/>
        <w:wordWrap/>
        <w:overflowPunct/>
        <w:topLinePunct w:val="0"/>
        <w:autoSpaceDE/>
        <w:autoSpaceDN/>
        <w:bidi w:val="0"/>
        <w:adjustRightInd/>
        <w:snapToGrid/>
        <w:spacing w:before="189" w:after="0" w:line="360" w:lineRule="auto"/>
        <w:ind w:right="0" w:firstLine="640" w:firstLineChars="20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线户外广告设置管理；协助查处侵占公路用地、破坏公路设</w:t>
      </w:r>
    </w:p>
    <w:p>
      <w:pPr>
        <w:keepNext w:val="0"/>
        <w:keepLines w:val="0"/>
        <w:pageBreakBefore w:val="0"/>
        <w:widowControl w:val="0"/>
        <w:kinsoku/>
        <w:wordWrap/>
        <w:overflowPunct/>
        <w:topLinePunct w:val="0"/>
        <w:autoSpaceDE/>
        <w:autoSpaceDN/>
        <w:bidi w:val="0"/>
        <w:adjustRightInd/>
        <w:snapToGrid/>
        <w:spacing w:before="189" w:after="0" w:line="360" w:lineRule="auto"/>
        <w:ind w:right="0" w:firstLine="640" w:firstLineChars="20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bookmarkStart w:id="0" w:name="br1_2"/>
      <w:bookmarkEnd w:id="0"/>
      <w:bookmarkStart w:id="1" w:name="br1_1"/>
      <w:bookmarkEnd w:id="1"/>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施等违法、违规、违章行为，依法维护公路产权等工作。</w:t>
      </w:r>
    </w:p>
    <w:p>
      <w:pPr>
        <w:keepNext w:val="0"/>
        <w:keepLines w:val="0"/>
        <w:pageBreakBefore w:val="0"/>
        <w:widowControl w:val="0"/>
        <w:kinsoku/>
        <w:wordWrap/>
        <w:overflowPunct/>
        <w:topLinePunct w:val="0"/>
        <w:autoSpaceDE/>
        <w:autoSpaceDN/>
        <w:bidi w:val="0"/>
        <w:adjustRightInd/>
        <w:snapToGrid/>
        <w:spacing w:before="189" w:after="0" w:line="360" w:lineRule="auto"/>
        <w:ind w:right="0" w:firstLine="640" w:firstLineChars="200"/>
        <w:jc w:val="left"/>
        <w:textAlignment w:val="auto"/>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（二）机构设置</w:t>
      </w:r>
    </w:p>
    <w:p>
      <w:pPr>
        <w:keepNext w:val="0"/>
        <w:keepLines w:val="0"/>
        <w:pageBreakBefore w:val="0"/>
        <w:widowControl w:val="0"/>
        <w:kinsoku/>
        <w:wordWrap/>
        <w:overflowPunct/>
        <w:topLinePunct w:val="0"/>
        <w:autoSpaceDE/>
        <w:autoSpaceDN/>
        <w:bidi w:val="0"/>
        <w:adjustRightInd/>
        <w:snapToGrid/>
        <w:spacing w:before="189" w:after="0" w:line="360" w:lineRule="auto"/>
        <w:ind w:right="0" w:firstLine="640" w:firstLineChars="20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我单位现有内设科室10个，在职人员3</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5</w:t>
      </w: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人，退休人员2</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8</w:t>
      </w: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人，属市</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二</w:t>
      </w: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级预算单位。</w:t>
      </w:r>
    </w:p>
    <w:p>
      <w:pPr>
        <w:pStyle w:val="17"/>
        <w:widowControl/>
        <w:numPr>
          <w:ilvl w:val="0"/>
          <w:numId w:val="1"/>
        </w:numPr>
        <w:ind w:firstLine="64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一般公共预算支出情况</w:t>
      </w:r>
    </w:p>
    <w:p>
      <w:pPr>
        <w:spacing w:line="520" w:lineRule="exact"/>
        <w:ind w:firstLine="560"/>
        <w:rPr>
          <w:rFonts w:hint="eastAsia" w:ascii="Times New Roman" w:hAnsi="Times New Roman" w:eastAsia="黑体" w:cs="Times New Roman"/>
          <w:sz w:val="32"/>
          <w:szCs w:val="32"/>
        </w:rPr>
      </w:pPr>
      <w:r>
        <w:rPr>
          <w:rFonts w:hint="eastAsia" w:ascii="仿宋" w:hAnsi="仿宋" w:eastAsia="仿宋" w:cs="仿宋_GB2312"/>
          <w:kern w:val="1"/>
          <w:sz w:val="32"/>
          <w:szCs w:val="32"/>
        </w:rPr>
        <w:t>202</w:t>
      </w:r>
      <w:r>
        <w:rPr>
          <w:rFonts w:hint="eastAsia" w:ascii="仿宋" w:hAnsi="仿宋" w:eastAsia="仿宋" w:cs="仿宋_GB2312"/>
          <w:kern w:val="1"/>
          <w:sz w:val="32"/>
          <w:szCs w:val="32"/>
          <w:lang w:val="en-US" w:eastAsia="zh-CN"/>
        </w:rPr>
        <w:t>2</w:t>
      </w:r>
      <w:r>
        <w:rPr>
          <w:rFonts w:hint="eastAsia" w:ascii="仿宋" w:hAnsi="仿宋" w:eastAsia="仿宋" w:cs="仿宋_GB2312"/>
          <w:kern w:val="1"/>
          <w:sz w:val="32"/>
          <w:szCs w:val="32"/>
        </w:rPr>
        <w:t>年我</w:t>
      </w:r>
      <w:r>
        <w:rPr>
          <w:rFonts w:hint="eastAsia" w:ascii="仿宋" w:hAnsi="仿宋" w:eastAsia="仿宋" w:cs="仿宋_GB2312"/>
          <w:kern w:val="1"/>
          <w:sz w:val="32"/>
          <w:szCs w:val="32"/>
          <w:lang w:eastAsia="zh-CN"/>
        </w:rPr>
        <w:t>雁峰分中心</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实际完成收入1176.67</w:t>
      </w:r>
      <w:r>
        <w:rPr>
          <w:rFonts w:hint="eastAsia" w:ascii="仿宋" w:hAnsi="仿宋" w:eastAsia="仿宋" w:cs="仿宋_GB2312"/>
          <w:kern w:val="1"/>
          <w:sz w:val="32"/>
          <w:szCs w:val="32"/>
        </w:rPr>
        <w:t>万元，上年度结转资金</w:t>
      </w:r>
      <w:r>
        <w:rPr>
          <w:rFonts w:hint="eastAsia" w:ascii="仿宋" w:hAnsi="仿宋" w:eastAsia="仿宋" w:cs="仿宋_GB2312"/>
          <w:kern w:val="1"/>
          <w:sz w:val="32"/>
          <w:szCs w:val="32"/>
          <w:lang w:val="en-US" w:eastAsia="zh-CN"/>
        </w:rPr>
        <w:t>247.60</w:t>
      </w:r>
      <w:r>
        <w:rPr>
          <w:rFonts w:hint="eastAsia" w:ascii="仿宋" w:hAnsi="仿宋" w:eastAsia="仿宋" w:cs="仿宋_GB2312"/>
          <w:kern w:val="1"/>
          <w:sz w:val="32"/>
          <w:szCs w:val="32"/>
        </w:rPr>
        <w:t>万元</w:t>
      </w:r>
      <w:r>
        <w:rPr>
          <w:rFonts w:hint="eastAsia" w:ascii="仿宋" w:hAnsi="仿宋" w:eastAsia="仿宋" w:cs="仿宋_GB2312"/>
          <w:kern w:val="1"/>
          <w:sz w:val="32"/>
          <w:szCs w:val="32"/>
          <w:lang w:eastAsia="zh-CN"/>
        </w:rPr>
        <w:t>，</w:t>
      </w:r>
      <w:r>
        <w:rPr>
          <w:rFonts w:hint="eastAsia" w:ascii="仿宋" w:hAnsi="仿宋" w:eastAsia="仿宋" w:cs="仿宋_GB2312"/>
          <w:kern w:val="1"/>
          <w:sz w:val="32"/>
          <w:szCs w:val="32"/>
        </w:rPr>
        <w:t>结转资金为未完工程结转资金。</w:t>
      </w:r>
    </w:p>
    <w:p>
      <w:pPr>
        <w:pStyle w:val="17"/>
        <w:keepNext w:val="0"/>
        <w:keepLines w:val="0"/>
        <w:pageBreakBefore w:val="0"/>
        <w:widowControl/>
        <w:kinsoku/>
        <w:wordWrap/>
        <w:overflowPunct/>
        <w:topLinePunct w:val="0"/>
        <w:autoSpaceDE/>
        <w:autoSpaceDN/>
        <w:bidi w:val="0"/>
        <w:adjustRightInd/>
        <w:snapToGrid/>
        <w:spacing w:line="40" w:lineRule="atLeast"/>
        <w:ind w:firstLine="643"/>
        <w:textAlignment w:val="auto"/>
        <w:rPr>
          <w:rFonts w:eastAsia="楷体"/>
          <w:b/>
          <w:color w:val="000000" w:themeColor="text1"/>
          <w:sz w:val="32"/>
          <w:szCs w:val="32"/>
          <w:highlight w:val="none"/>
          <w14:textFill>
            <w14:solidFill>
              <w14:schemeClr w14:val="tx1"/>
            </w14:solidFill>
          </w14:textFill>
        </w:rPr>
      </w:pPr>
      <w:r>
        <w:rPr>
          <w:rFonts w:hint="eastAsia" w:eastAsia="楷体"/>
          <w:b/>
          <w:color w:val="000000" w:themeColor="text1"/>
          <w:sz w:val="32"/>
          <w:szCs w:val="32"/>
          <w:highlight w:val="none"/>
          <w14:textFill>
            <w14:solidFill>
              <w14:schemeClr w14:val="tx1"/>
            </w14:solidFill>
          </w14:textFill>
        </w:rPr>
        <w:t>（</w:t>
      </w:r>
      <w:r>
        <w:rPr>
          <w:rFonts w:hint="eastAsia" w:ascii="Times New Roman" w:hAnsi="Times New Roman" w:eastAsia="楷体" w:cs="Times New Roman"/>
          <w:b/>
          <w:sz w:val="32"/>
          <w:szCs w:val="32"/>
        </w:rPr>
        <w:t>一）基本支出情况</w:t>
      </w:r>
    </w:p>
    <w:p>
      <w:pPr>
        <w:keepNext w:val="0"/>
        <w:keepLines w:val="0"/>
        <w:pageBreakBefore w:val="0"/>
        <w:widowControl w:val="0"/>
        <w:kinsoku/>
        <w:wordWrap/>
        <w:overflowPunct/>
        <w:topLinePunct w:val="0"/>
        <w:autoSpaceDE/>
        <w:autoSpaceDN/>
        <w:bidi w:val="0"/>
        <w:adjustRightInd/>
        <w:snapToGrid/>
        <w:spacing w:before="189" w:after="0" w:line="360" w:lineRule="auto"/>
        <w:ind w:right="0" w:firstLine="640" w:firstLineChars="20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202</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2</w:t>
      </w: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年全年基本支出总计</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685.85万</w:t>
      </w: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元，其中包括以下几个方面：</w:t>
      </w:r>
    </w:p>
    <w:p>
      <w:pPr>
        <w:keepNext w:val="0"/>
        <w:keepLines w:val="0"/>
        <w:pageBreakBefore w:val="0"/>
        <w:widowControl w:val="0"/>
        <w:kinsoku/>
        <w:wordWrap/>
        <w:overflowPunct/>
        <w:topLinePunct w:val="0"/>
        <w:autoSpaceDE/>
        <w:autoSpaceDN/>
        <w:bidi w:val="0"/>
        <w:adjustRightInd/>
        <w:snapToGrid/>
        <w:spacing w:before="189" w:after="0" w:line="360" w:lineRule="auto"/>
        <w:ind w:right="0" w:firstLine="640" w:firstLineChars="200"/>
        <w:jc w:val="left"/>
        <w:textAlignment w:val="auto"/>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1、工资福利支出</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523.20</w:t>
      </w: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万元，占基本支出的</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76.29</w:t>
      </w: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w:t>
      </w: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主要用于在职干部职工工资、绩效奖励、养老保险、医疗保险等保障缴费等。</w:t>
      </w:r>
    </w:p>
    <w:p>
      <w:pPr>
        <w:keepNext w:val="0"/>
        <w:keepLines w:val="0"/>
        <w:pageBreakBefore w:val="0"/>
        <w:widowControl w:val="0"/>
        <w:kinsoku/>
        <w:wordWrap/>
        <w:overflowPunct/>
        <w:topLinePunct w:val="0"/>
        <w:autoSpaceDE/>
        <w:autoSpaceDN/>
        <w:bidi w:val="0"/>
        <w:adjustRightInd/>
        <w:snapToGrid/>
        <w:spacing w:before="189" w:after="0" w:line="360" w:lineRule="auto"/>
        <w:ind w:right="0" w:firstLine="640" w:firstLineChars="20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2、商品和服务支出</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53.10</w:t>
      </w: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万元，占基本支出的</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7.74</w:t>
      </w: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%，主要用于为保障基本运行而发生的水费、电费、物业管理费、办公费、印刷费、邮电费、维修费、差旅费等。</w:t>
      </w:r>
    </w:p>
    <w:p>
      <w:pPr>
        <w:keepNext w:val="0"/>
        <w:keepLines w:val="0"/>
        <w:pageBreakBefore w:val="0"/>
        <w:kinsoku/>
        <w:wordWrap/>
        <w:overflowPunct/>
        <w:topLinePunct w:val="0"/>
        <w:autoSpaceDE/>
        <w:autoSpaceDN/>
        <w:bidi w:val="0"/>
        <w:adjustRightInd/>
        <w:snapToGrid/>
        <w:spacing w:before="189" w:after="0" w:line="360" w:lineRule="auto"/>
        <w:ind w:right="0" w:firstLine="640" w:firstLineChars="200"/>
        <w:jc w:val="left"/>
        <w:textAlignment w:val="auto"/>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3、对个人及家庭的补助</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109.55</w:t>
      </w: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万元。占基本支</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出15.97</w:t>
      </w:r>
      <w:r>
        <w:rPr>
          <w:rFonts w:hint="eastAsia" w:ascii="仿宋" w:hAnsi="仿宋" w:eastAsia="仿宋" w:cs="仿宋"/>
          <w:color w:val="000000" w:themeColor="text1"/>
          <w:kern w:val="2"/>
          <w:sz w:val="32"/>
          <w:szCs w:val="32"/>
          <w:highlight w:val="none"/>
          <w:lang w:val="en-US" w:eastAsia="en-US" w:bidi="ar-SA"/>
          <w14:textFill>
            <w14:solidFill>
              <w14:schemeClr w14:val="tx1"/>
            </w14:solidFill>
          </w14:textFill>
        </w:rPr>
        <w:t>%，主要用于发放离退休人员绩效奖、抚恤金等。</w:t>
      </w:r>
    </w:p>
    <w:p>
      <w:pPr>
        <w:pStyle w:val="17"/>
        <w:widowControl/>
        <w:ind w:firstLine="643"/>
        <w:rPr>
          <w:rFonts w:hint="eastAsia" w:ascii="Times New Roman" w:hAnsi="Times New Roman" w:eastAsia="楷体" w:cs="Times New Roman"/>
          <w:b/>
          <w:sz w:val="32"/>
          <w:szCs w:val="32"/>
          <w:lang w:val="en-US" w:eastAsia="zh-CN"/>
        </w:rPr>
      </w:pPr>
      <w:r>
        <w:rPr>
          <w:rFonts w:hint="eastAsia" w:ascii="Times New Roman" w:hAnsi="Times New Roman" w:eastAsia="楷体" w:cs="Times New Roman"/>
          <w:b/>
          <w:sz w:val="32"/>
          <w:szCs w:val="32"/>
          <w:lang w:val="en-US" w:eastAsia="en-US"/>
        </w:rPr>
        <w:t>（二）项目支出</w:t>
      </w:r>
      <w:r>
        <w:rPr>
          <w:rFonts w:hint="eastAsia" w:eastAsia="楷体" w:cs="Times New Roman"/>
          <w:b/>
          <w:sz w:val="32"/>
          <w:szCs w:val="32"/>
          <w:lang w:val="en-US" w:eastAsia="zh-CN"/>
        </w:rPr>
        <w:t>情况</w:t>
      </w:r>
    </w:p>
    <w:p>
      <w:pPr>
        <w:keepNext w:val="0"/>
        <w:keepLines w:val="0"/>
        <w:pageBreakBefore w:val="0"/>
        <w:widowControl w:val="0"/>
        <w:kinsoku/>
        <w:wordWrap/>
        <w:overflowPunct/>
        <w:topLinePunct w:val="0"/>
        <w:autoSpaceDE/>
        <w:autoSpaceDN/>
        <w:bidi w:val="0"/>
        <w:adjustRightInd/>
        <w:snapToGrid/>
        <w:spacing w:before="189" w:after="0" w:line="360" w:lineRule="auto"/>
        <w:ind w:right="0" w:firstLine="640" w:firstLineChars="200"/>
        <w:jc w:val="left"/>
        <w:textAlignment w:val="auto"/>
        <w:rPr>
          <w:rFonts w:hint="eastAsia" w:ascii="Times New Roman" w:hAnsi="Times New Roman" w:eastAsia="楷体" w:cs="Times New Roman"/>
          <w:color w:val="000000" w:themeColor="text1"/>
          <w:kern w:val="2"/>
          <w:sz w:val="32"/>
          <w:szCs w:val="32"/>
          <w:highlight w:val="none"/>
          <w:lang w:val="en-US" w:eastAsia="en-US" w:bidi="ar-SA"/>
          <w14:textFill>
            <w14:solidFill>
              <w14:schemeClr w14:val="tx1"/>
            </w14:solidFill>
          </w14:textFill>
        </w:rPr>
      </w:pPr>
      <w:r>
        <w:rPr>
          <w:rFonts w:hint="eastAsia" w:ascii="仿宋" w:hAnsi="仿宋" w:eastAsia="仿宋" w:cs="仿宋_GB2312"/>
          <w:kern w:val="1"/>
          <w:sz w:val="32"/>
          <w:szCs w:val="32"/>
          <w:lang w:val="en-US" w:eastAsia="en-US"/>
        </w:rPr>
        <w:t>202</w:t>
      </w:r>
      <w:r>
        <w:rPr>
          <w:rFonts w:hint="eastAsia" w:ascii="仿宋" w:hAnsi="仿宋" w:eastAsia="仿宋" w:cs="仿宋_GB2312"/>
          <w:kern w:val="1"/>
          <w:sz w:val="32"/>
          <w:szCs w:val="32"/>
          <w:lang w:val="en-US" w:eastAsia="zh-CN"/>
        </w:rPr>
        <w:t>2</w:t>
      </w:r>
      <w:r>
        <w:rPr>
          <w:rFonts w:hint="eastAsia" w:ascii="仿宋" w:hAnsi="仿宋" w:eastAsia="仿宋" w:cs="仿宋_GB2312"/>
          <w:kern w:val="1"/>
          <w:sz w:val="32"/>
          <w:szCs w:val="32"/>
          <w:lang w:val="en-US" w:eastAsia="en-US"/>
        </w:rPr>
        <w:t>年全年项目总支出为</w:t>
      </w:r>
      <w:r>
        <w:rPr>
          <w:rFonts w:hint="eastAsia" w:ascii="仿宋" w:hAnsi="仿宋" w:eastAsia="仿宋" w:cs="仿宋_GB2312"/>
          <w:kern w:val="1"/>
          <w:sz w:val="32"/>
          <w:szCs w:val="32"/>
          <w:lang w:val="en-US" w:eastAsia="zh-CN"/>
        </w:rPr>
        <w:t>490.82</w:t>
      </w:r>
      <w:r>
        <w:rPr>
          <w:rFonts w:hint="eastAsia" w:ascii="仿宋" w:hAnsi="仿宋" w:eastAsia="仿宋" w:cs="仿宋_GB2312"/>
          <w:kern w:val="1"/>
          <w:sz w:val="32"/>
          <w:szCs w:val="32"/>
          <w:lang w:val="en-US" w:eastAsia="en-US"/>
        </w:rPr>
        <w:t>万元</w:t>
      </w:r>
      <w:r>
        <w:rPr>
          <w:rFonts w:hint="eastAsia" w:ascii="仿宋" w:hAnsi="仿宋" w:eastAsia="仿宋" w:cs="仿宋_GB2312"/>
          <w:kern w:val="1"/>
          <w:sz w:val="32"/>
          <w:szCs w:val="32"/>
          <w:lang w:val="en-US" w:eastAsia="zh-CN"/>
        </w:rPr>
        <w:t>。</w:t>
      </w:r>
      <w:r>
        <w:rPr>
          <w:rFonts w:hint="eastAsia" w:ascii="仿宋" w:hAnsi="仿宋" w:eastAsia="仿宋" w:cs="仿宋_GB2312"/>
          <w:kern w:val="1"/>
          <w:sz w:val="32"/>
          <w:szCs w:val="32"/>
        </w:rPr>
        <w:t>公路养护</w:t>
      </w:r>
      <w:r>
        <w:rPr>
          <w:rFonts w:hint="eastAsia" w:ascii="仿宋" w:hAnsi="仿宋" w:eastAsia="仿宋" w:cs="仿宋_GB2312"/>
          <w:kern w:val="1"/>
          <w:sz w:val="32"/>
          <w:szCs w:val="32"/>
          <w:lang w:val="en-US" w:eastAsia="zh-CN"/>
        </w:rPr>
        <w:t>260.95</w:t>
      </w:r>
      <w:r>
        <w:rPr>
          <w:rFonts w:hint="eastAsia" w:ascii="仿宋" w:hAnsi="仿宋" w:eastAsia="仿宋" w:cs="仿宋_GB2312"/>
          <w:kern w:val="1"/>
          <w:sz w:val="32"/>
          <w:szCs w:val="32"/>
        </w:rPr>
        <w:t>万元，安防</w:t>
      </w:r>
      <w:r>
        <w:rPr>
          <w:rFonts w:hint="eastAsia" w:ascii="仿宋" w:hAnsi="仿宋" w:eastAsia="仿宋" w:cs="仿宋_GB2312"/>
          <w:kern w:val="1"/>
          <w:sz w:val="32"/>
          <w:szCs w:val="32"/>
          <w:lang w:val="en-US" w:eastAsia="zh-CN"/>
        </w:rPr>
        <w:t>工程188.17</w:t>
      </w:r>
      <w:r>
        <w:rPr>
          <w:rFonts w:hint="eastAsia" w:ascii="仿宋" w:hAnsi="仿宋" w:eastAsia="仿宋" w:cs="仿宋_GB2312"/>
          <w:kern w:val="1"/>
          <w:sz w:val="32"/>
          <w:szCs w:val="32"/>
        </w:rPr>
        <w:t>万元，危桥改造</w:t>
      </w:r>
      <w:r>
        <w:rPr>
          <w:rFonts w:hint="eastAsia" w:ascii="仿宋" w:hAnsi="仿宋" w:eastAsia="仿宋" w:cs="仿宋_GB2312"/>
          <w:kern w:val="1"/>
          <w:sz w:val="32"/>
          <w:szCs w:val="32"/>
          <w:lang w:val="en-US" w:eastAsia="zh-CN"/>
        </w:rPr>
        <w:t>41.70</w:t>
      </w:r>
      <w:r>
        <w:rPr>
          <w:rFonts w:hint="eastAsia" w:ascii="仿宋" w:hAnsi="仿宋" w:eastAsia="仿宋" w:cs="仿宋_GB2312"/>
          <w:kern w:val="1"/>
          <w:sz w:val="32"/>
          <w:szCs w:val="32"/>
        </w:rPr>
        <w:t>万元，合计</w:t>
      </w:r>
      <w:r>
        <w:rPr>
          <w:rFonts w:hint="eastAsia" w:ascii="仿宋" w:hAnsi="仿宋" w:eastAsia="仿宋" w:cs="仿宋_GB2312"/>
          <w:kern w:val="1"/>
          <w:sz w:val="32"/>
          <w:szCs w:val="32"/>
          <w:lang w:val="en-US" w:eastAsia="zh-CN"/>
        </w:rPr>
        <w:t>490.82</w:t>
      </w:r>
      <w:r>
        <w:rPr>
          <w:rFonts w:hint="eastAsia" w:ascii="仿宋" w:hAnsi="仿宋" w:eastAsia="仿宋" w:cs="仿宋_GB2312"/>
          <w:kern w:val="1"/>
          <w:sz w:val="32"/>
          <w:szCs w:val="32"/>
        </w:rPr>
        <w:t>万元。</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三、政府性基金预算支出情况</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政府性基金预算支出情况无</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四、国有资本经营预算支出情况</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国有资本经营预算支出情况无</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五、社会保险基金预算支出情况</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社会保险基金预算支出情况无</w:t>
      </w:r>
    </w:p>
    <w:p>
      <w:pPr>
        <w:keepNext w:val="0"/>
        <w:keepLines w:val="0"/>
        <w:pageBreakBefore w:val="0"/>
        <w:widowControl/>
        <w:kinsoku/>
        <w:wordWrap/>
        <w:overflowPunct/>
        <w:topLinePunct w:val="0"/>
        <w:autoSpaceDE/>
        <w:autoSpaceDN/>
        <w:bidi w:val="0"/>
        <w:adjustRightInd/>
        <w:snapToGrid/>
        <w:spacing w:line="40" w:lineRule="atLeast"/>
        <w:ind w:firstLine="640" w:firstLineChars="200"/>
        <w:textAlignment w:val="auto"/>
        <w:rPr>
          <w:rFonts w:ascii="Times New Roman" w:hAnsi="Times New Roman" w:eastAsia="黑体"/>
          <w:color w:val="000000" w:themeColor="text1"/>
          <w:sz w:val="32"/>
          <w:szCs w:val="32"/>
          <w:highlight w:val="none"/>
          <w14:textFill>
            <w14:solidFill>
              <w14:schemeClr w14:val="tx1"/>
            </w14:solidFill>
          </w14:textFill>
        </w:rPr>
      </w:pPr>
      <w:r>
        <w:rPr>
          <w:rFonts w:hint="eastAsia" w:ascii="Times New Roman" w:hAnsi="Times New Roman" w:eastAsia="黑体"/>
          <w:color w:val="000000" w:themeColor="text1"/>
          <w:sz w:val="32"/>
          <w:szCs w:val="32"/>
          <w:highlight w:val="none"/>
          <w14:textFill>
            <w14:solidFill>
              <w14:schemeClr w14:val="tx1"/>
            </w14:solidFill>
          </w14:textFill>
        </w:rPr>
        <w:t>六、部门整体支出绩效情况</w:t>
      </w:r>
    </w:p>
    <w:p>
      <w:pPr>
        <w:spacing w:line="520" w:lineRule="exact"/>
        <w:ind w:firstLine="640"/>
        <w:rPr>
          <w:rFonts w:ascii="仿宋" w:hAnsi="仿宋" w:eastAsia="仿宋"/>
          <w:sz w:val="32"/>
          <w:szCs w:val="32"/>
        </w:rPr>
      </w:pPr>
      <w:r>
        <w:rPr>
          <w:rFonts w:hint="eastAsia" w:ascii="仿宋" w:hAnsi="仿宋" w:eastAsia="仿宋"/>
          <w:sz w:val="32"/>
          <w:szCs w:val="32"/>
        </w:rPr>
        <w:t>过去的一年，在市公路建设养护中心、区委区政府的正确领导下，认真贯彻落实全市公路工作会议精神和区委经济工作会议精神，立足实际、主动作为、建章立制、规范管理、重在强基，各项工作稳步推进，圆满完成了全年各项目标任务，实现了良好开局。</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hint="eastAsia" w:ascii="仿宋" w:hAnsi="仿宋" w:eastAsia="仿宋"/>
          <w:sz w:val="32"/>
          <w:szCs w:val="32"/>
          <w:lang w:eastAsia="zh-CN"/>
        </w:rPr>
      </w:pPr>
      <w:r>
        <w:rPr>
          <w:rFonts w:hint="eastAsia" w:ascii="仿宋" w:hAnsi="仿宋" w:eastAsia="仿宋"/>
          <w:sz w:val="32"/>
          <w:szCs w:val="32"/>
        </w:rPr>
        <w:t>各项管理制度不断完善，干部职工各项待遇基本落实；国省干线路况水平稳步提升，农路养护实现全区覆盖，日常养护、预防性养护力度加大，危桥改造项目稳步推进，农村公路安防（民生实事）工程如期完成</w:t>
      </w:r>
      <w:r>
        <w:rPr>
          <w:rFonts w:hint="eastAsia" w:ascii="仿宋" w:hAnsi="仿宋" w:eastAsia="仿宋"/>
          <w:sz w:val="32"/>
          <w:szCs w:val="32"/>
          <w:lang w:eastAsia="zh-CN"/>
        </w:rPr>
        <w:t>。</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七、存在的问题及原因分析</w:t>
      </w:r>
    </w:p>
    <w:p>
      <w:pPr>
        <w:spacing w:line="520" w:lineRule="exact"/>
        <w:ind w:firstLine="560"/>
        <w:rPr>
          <w:rFonts w:ascii="仿宋" w:hAnsi="仿宋" w:eastAsia="仿宋" w:cs="仿宋_GB2312"/>
          <w:kern w:val="1"/>
          <w:sz w:val="32"/>
          <w:szCs w:val="32"/>
        </w:rPr>
      </w:pPr>
      <w:r>
        <w:rPr>
          <w:rFonts w:hint="eastAsia" w:ascii="仿宋" w:hAnsi="仿宋" w:eastAsia="仿宋" w:cs="仿宋_GB2312"/>
          <w:kern w:val="1"/>
          <w:sz w:val="32"/>
          <w:szCs w:val="32"/>
        </w:rPr>
        <w:t>预算编制工作有待细化。预算编制不够明确和细化，预算编制不能只按编制人员数，而应按实际工作任务的多少、大小、强弱来定预算，预算编制的合理性需要提高，预算执行力度还要进一步加强。</w:t>
      </w:r>
    </w:p>
    <w:p>
      <w:pPr>
        <w:spacing w:line="520" w:lineRule="exact"/>
        <w:ind w:firstLine="560"/>
        <w:rPr>
          <w:rFonts w:ascii="仿宋" w:hAnsi="仿宋" w:eastAsia="仿宋" w:cs="仿宋_GB2312"/>
          <w:kern w:val="1"/>
          <w:sz w:val="32"/>
          <w:szCs w:val="32"/>
        </w:rPr>
      </w:pPr>
      <w:r>
        <w:rPr>
          <w:rFonts w:hint="eastAsia" w:ascii="仿宋" w:hAnsi="仿宋" w:eastAsia="仿宋" w:cs="仿宋_GB2312"/>
          <w:kern w:val="1"/>
          <w:sz w:val="32"/>
          <w:szCs w:val="32"/>
        </w:rPr>
        <w:t>我中心</w:t>
      </w:r>
      <w:r>
        <w:rPr>
          <w:rFonts w:hint="eastAsia" w:ascii="仿宋" w:hAnsi="仿宋" w:eastAsia="仿宋" w:cs="仿宋"/>
          <w:sz w:val="32"/>
          <w:szCs w:val="32"/>
        </w:rPr>
        <w:t>主要负责所在行政区域内的国省干线公路及农村公路的建设、养护和管理工作，公路养护</w:t>
      </w:r>
      <w:r>
        <w:rPr>
          <w:rFonts w:hint="eastAsia" w:ascii="仿宋" w:hAnsi="仿宋" w:eastAsia="仿宋" w:cs="仿宋"/>
          <w:sz w:val="32"/>
          <w:szCs w:val="32"/>
          <w:lang w:eastAsia="zh-CN"/>
        </w:rPr>
        <w:t>和建设虽</w:t>
      </w:r>
      <w:r>
        <w:rPr>
          <w:rFonts w:hint="eastAsia" w:ascii="仿宋" w:hAnsi="仿宋" w:eastAsia="仿宋" w:cs="仿宋"/>
          <w:sz w:val="32"/>
          <w:szCs w:val="32"/>
        </w:rPr>
        <w:t>安排了经费，</w:t>
      </w:r>
      <w:r>
        <w:rPr>
          <w:rFonts w:hint="eastAsia" w:ascii="仿宋" w:hAnsi="仿宋" w:eastAsia="仿宋" w:cs="仿宋"/>
          <w:sz w:val="32"/>
          <w:szCs w:val="32"/>
          <w:lang w:eastAsia="zh-CN"/>
        </w:rPr>
        <w:t>但实际</w:t>
      </w:r>
      <w:r>
        <w:rPr>
          <w:rFonts w:hint="eastAsia" w:ascii="仿宋" w:hAnsi="仿宋" w:eastAsia="仿宋" w:cs="仿宋"/>
          <w:sz w:val="32"/>
          <w:szCs w:val="32"/>
        </w:rPr>
        <w:t>经费</w:t>
      </w:r>
      <w:r>
        <w:rPr>
          <w:rFonts w:hint="eastAsia" w:ascii="仿宋" w:hAnsi="仿宋" w:eastAsia="仿宋" w:cs="仿宋"/>
          <w:sz w:val="32"/>
          <w:szCs w:val="32"/>
          <w:lang w:eastAsia="zh-CN"/>
        </w:rPr>
        <w:t>不足</w:t>
      </w:r>
      <w:r>
        <w:rPr>
          <w:rFonts w:hint="eastAsia" w:ascii="仿宋" w:hAnsi="仿宋" w:eastAsia="仿宋" w:cs="仿宋"/>
          <w:sz w:val="32"/>
          <w:szCs w:val="32"/>
        </w:rPr>
        <w:t>，路面病害不能及时处治，存在较大安全隐患。</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黑体"/>
          <w:color w:val="000000" w:themeColor="text1"/>
          <w:sz w:val="32"/>
          <w:szCs w:val="32"/>
          <w:highlight w:val="none"/>
          <w14:textFill>
            <w14:solidFill>
              <w14:schemeClr w14:val="tx1"/>
            </w14:solidFill>
          </w14:textFill>
        </w:rPr>
      </w:pPr>
      <w:r>
        <w:rPr>
          <w:rFonts w:hint="eastAsia" w:eastAsia="黑体"/>
          <w:color w:val="000000" w:themeColor="text1"/>
          <w:sz w:val="32"/>
          <w:szCs w:val="32"/>
          <w:highlight w:val="none"/>
          <w14:textFill>
            <w14:solidFill>
              <w14:schemeClr w14:val="tx1"/>
            </w14:solidFill>
          </w14:textFill>
        </w:rPr>
        <w:t>八、改进措施和有关建议</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楷体"/>
          <w:color w:val="000000" w:themeColor="text1"/>
          <w:sz w:val="32"/>
          <w:szCs w:val="32"/>
          <w:highlight w:val="none"/>
          <w14:textFill>
            <w14:solidFill>
              <w14:schemeClr w14:val="tx1"/>
            </w14:solidFill>
          </w14:textFill>
        </w:rPr>
      </w:pPr>
      <w:r>
        <w:rPr>
          <w:rFonts w:hint="eastAsia" w:eastAsia="楷体"/>
          <w:color w:val="000000" w:themeColor="text1"/>
          <w:sz w:val="32"/>
          <w:szCs w:val="32"/>
          <w:highlight w:val="none"/>
          <w14:textFill>
            <w14:solidFill>
              <w14:schemeClr w14:val="tx1"/>
            </w14:solidFill>
          </w14:textFill>
        </w:rPr>
        <w:t>1.科学合理编制预算，严格执行预算。</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楷体"/>
          <w:color w:val="000000" w:themeColor="text1"/>
          <w:sz w:val="32"/>
          <w:szCs w:val="32"/>
          <w:highlight w:val="none"/>
          <w14:textFill>
            <w14:solidFill>
              <w14:schemeClr w14:val="tx1"/>
            </w14:solidFill>
          </w14:textFill>
        </w:rPr>
      </w:pPr>
      <w:r>
        <w:rPr>
          <w:rFonts w:hint="eastAsia" w:eastAsia="楷体"/>
          <w:color w:val="000000" w:themeColor="text1"/>
          <w:sz w:val="32"/>
          <w:szCs w:val="32"/>
          <w:highlight w:val="none"/>
          <w14:textFill>
            <w14:solidFill>
              <w14:schemeClr w14:val="tx1"/>
            </w14:solidFill>
          </w14:textFill>
        </w:rPr>
        <w:t>加强预算编制的前瞻性，按照新</w:t>
      </w:r>
      <w:r>
        <w:rPr>
          <w:rFonts w:hint="eastAsia" w:eastAsia="楷体"/>
          <w:color w:val="000000" w:themeColor="text1"/>
          <w:sz w:val="32"/>
          <w:szCs w:val="32"/>
          <w:highlight w:val="none"/>
          <w:lang w:eastAsia="zh-CN"/>
          <w14:textFill>
            <w14:solidFill>
              <w14:schemeClr w14:val="tx1"/>
            </w14:solidFill>
          </w14:textFill>
        </w:rPr>
        <w:t>《中华人民共和国预算法》</w:t>
      </w:r>
      <w:r>
        <w:rPr>
          <w:rFonts w:hint="eastAsia" w:eastAsia="楷体"/>
          <w:color w:val="000000" w:themeColor="text1"/>
          <w:sz w:val="32"/>
          <w:szCs w:val="32"/>
          <w:highlight w:val="none"/>
          <w14:textFill>
            <w14:solidFill>
              <w14:schemeClr w14:val="tx1"/>
            </w14:solidFill>
          </w14:textFill>
        </w:rPr>
        <w:t>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楷体"/>
          <w:color w:val="000000" w:themeColor="text1"/>
          <w:sz w:val="32"/>
          <w:szCs w:val="32"/>
          <w:highlight w:val="none"/>
          <w14:textFill>
            <w14:solidFill>
              <w14:schemeClr w14:val="tx1"/>
            </w14:solidFill>
          </w14:textFill>
        </w:rPr>
      </w:pPr>
      <w:r>
        <w:rPr>
          <w:rFonts w:hint="eastAsia" w:eastAsia="楷体"/>
          <w:color w:val="000000" w:themeColor="text1"/>
          <w:sz w:val="32"/>
          <w:szCs w:val="32"/>
          <w:highlight w:val="none"/>
          <w14:textFill>
            <w14:solidFill>
              <w14:schemeClr w14:val="tx1"/>
            </w14:solidFill>
          </w14:textFill>
        </w:rPr>
        <w:t>2.完善管理制度，进一步加强资产管理。</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楷体"/>
          <w:color w:val="000000" w:themeColor="text1"/>
          <w:sz w:val="32"/>
          <w:szCs w:val="32"/>
          <w:highlight w:val="none"/>
          <w14:textFill>
            <w14:solidFill>
              <w14:schemeClr w14:val="tx1"/>
            </w14:solidFill>
          </w14:textFill>
        </w:rPr>
      </w:pPr>
      <w:r>
        <w:rPr>
          <w:rFonts w:hint="eastAsia" w:eastAsia="楷体"/>
          <w:color w:val="000000" w:themeColor="text1"/>
          <w:sz w:val="32"/>
          <w:szCs w:val="32"/>
          <w:highlight w:val="none"/>
          <w14:textFill>
            <w14:solidFill>
              <w14:schemeClr w14:val="tx1"/>
            </w14:solidFill>
          </w14:textFill>
        </w:rPr>
        <w:t>进一步贯彻落实中央</w:t>
      </w:r>
      <w:r>
        <w:rPr>
          <w:rFonts w:hint="eastAsia" w:eastAsia="楷体"/>
          <w:color w:val="000000" w:themeColor="text1"/>
          <w:sz w:val="32"/>
          <w:szCs w:val="32"/>
          <w:highlight w:val="none"/>
          <w:lang w:eastAsia="zh-CN"/>
          <w14:textFill>
            <w14:solidFill>
              <w14:schemeClr w14:val="tx1"/>
            </w14:solidFill>
          </w14:textFill>
        </w:rPr>
        <w:t>八项规定</w:t>
      </w:r>
      <w:r>
        <w:rPr>
          <w:rFonts w:hint="eastAsia" w:eastAsia="楷体"/>
          <w:color w:val="000000" w:themeColor="text1"/>
          <w:sz w:val="32"/>
          <w:szCs w:val="32"/>
          <w:highlight w:val="none"/>
          <w14:textFill>
            <w14:solidFill>
              <w14:schemeClr w14:val="tx1"/>
            </w14:solidFill>
          </w14:textFill>
        </w:rPr>
        <w:t>和湖南省委“九条规定”，建立本部门“三公经费”等公务支出管理制度及厉行节约制度，加强经费审批和控制，规范支出标准与范围，并严格执行。严格按照《固定资产管理办法》的规定加强固定资产管理，及时登记、更新台账，加强资产卡片管理，年终前对各类实物资产进行全面盘点，确保账账、账实相符。</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楷体"/>
          <w:color w:val="000000" w:themeColor="text1"/>
          <w:sz w:val="32"/>
          <w:szCs w:val="32"/>
          <w:highlight w:val="none"/>
          <w14:textFill>
            <w14:solidFill>
              <w14:schemeClr w14:val="tx1"/>
            </w14:solidFill>
          </w14:textFill>
        </w:rPr>
      </w:pPr>
      <w:r>
        <w:rPr>
          <w:rFonts w:hint="eastAsia" w:eastAsia="楷体"/>
          <w:color w:val="000000" w:themeColor="text1"/>
          <w:sz w:val="32"/>
          <w:szCs w:val="32"/>
          <w:highlight w:val="none"/>
          <w14:textFill>
            <w14:solidFill>
              <w14:schemeClr w14:val="tx1"/>
            </w14:solidFill>
          </w14:textFill>
        </w:rPr>
        <w:t>3.加强新行政单位会计制度和新预算法学习培训。</w:t>
      </w:r>
    </w:p>
    <w:p>
      <w:pPr>
        <w:pStyle w:val="17"/>
        <w:keepNext w:val="0"/>
        <w:keepLines w:val="0"/>
        <w:pageBreakBefore w:val="0"/>
        <w:widowControl/>
        <w:kinsoku/>
        <w:wordWrap/>
        <w:overflowPunct/>
        <w:topLinePunct w:val="0"/>
        <w:autoSpaceDE/>
        <w:autoSpaceDN/>
        <w:bidi w:val="0"/>
        <w:adjustRightInd/>
        <w:snapToGrid/>
        <w:spacing w:line="40" w:lineRule="atLeast"/>
        <w:ind w:firstLine="640"/>
        <w:textAlignment w:val="auto"/>
        <w:rPr>
          <w:rFonts w:eastAsia="黑体"/>
          <w:color w:val="000000" w:themeColor="text1"/>
          <w:sz w:val="32"/>
          <w:szCs w:val="32"/>
          <w:highlight w:val="none"/>
          <w14:textFill>
            <w14:solidFill>
              <w14:schemeClr w14:val="tx1"/>
            </w14:solidFill>
          </w14:textFill>
        </w:rPr>
      </w:pPr>
      <w:r>
        <w:rPr>
          <w:rFonts w:hint="eastAsia" w:eastAsia="楷体"/>
          <w:color w:val="000000" w:themeColor="text1"/>
          <w:sz w:val="32"/>
          <w:szCs w:val="32"/>
          <w:highlight w:val="none"/>
          <w14:textFill>
            <w14:solidFill>
              <w14:schemeClr w14:val="tx1"/>
            </w14:solidFill>
          </w14:textFill>
        </w:rPr>
        <w:t>加强新</w:t>
      </w:r>
      <w:r>
        <w:rPr>
          <w:rFonts w:hint="eastAsia" w:eastAsia="楷体"/>
          <w:color w:val="000000" w:themeColor="text1"/>
          <w:sz w:val="32"/>
          <w:szCs w:val="32"/>
          <w:highlight w:val="none"/>
          <w:lang w:eastAsia="zh-CN"/>
          <w14:textFill>
            <w14:solidFill>
              <w14:schemeClr w14:val="tx1"/>
            </w14:solidFill>
          </w14:textFill>
        </w:rPr>
        <w:t>《中华人民共和国预算法》</w:t>
      </w:r>
      <w:r>
        <w:rPr>
          <w:rFonts w:hint="eastAsia" w:eastAsia="楷体"/>
          <w:color w:val="000000" w:themeColor="text1"/>
          <w:sz w:val="32"/>
          <w:szCs w:val="32"/>
          <w:highlight w:val="none"/>
          <w14:textFill>
            <w14:solidFill>
              <w14:schemeClr w14:val="tx1"/>
            </w14:solidFill>
          </w14:textFill>
        </w:rPr>
        <w:t xml:space="preserve">、《行政单位会计制度》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     </w:t>
      </w:r>
      <w:r>
        <w:rPr>
          <w:rFonts w:hint="eastAsia" w:ascii="仿宋_GB2312" w:hAnsi="宋体" w:eastAsia="仿宋_GB2312"/>
          <w:color w:val="000000" w:themeColor="text1"/>
          <w:sz w:val="32"/>
          <w:szCs w:val="32"/>
          <w:highlight w:val="none"/>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snapToGrid/>
        <w:spacing w:line="40" w:lineRule="atLeast"/>
        <w:ind w:firstLine="640" w:firstLineChars="200"/>
        <w:textAlignment w:val="auto"/>
        <w:rPr>
          <w:rFonts w:ascii="Times New Roman" w:hAnsi="Times New Roman" w:eastAsia="黑体"/>
          <w:color w:val="000000" w:themeColor="text1"/>
          <w:sz w:val="32"/>
          <w:szCs w:val="32"/>
          <w:highlight w:val="none"/>
          <w14:textFill>
            <w14:solidFill>
              <w14:schemeClr w14:val="tx1"/>
            </w14:solidFill>
          </w14:textFill>
        </w:rPr>
      </w:pPr>
      <w:r>
        <w:rPr>
          <w:rFonts w:hint="eastAsia" w:ascii="Times New Roman" w:hAnsi="Times New Roman" w:eastAsia="黑体"/>
          <w:color w:val="000000" w:themeColor="text1"/>
          <w:sz w:val="32"/>
          <w:szCs w:val="32"/>
          <w:highlight w:val="none"/>
          <w14:textFill>
            <w14:solidFill>
              <w14:schemeClr w14:val="tx1"/>
            </w14:solidFill>
          </w14:textFill>
        </w:rPr>
        <w:t>九、其他需要说明的情况</w:t>
      </w:r>
    </w:p>
    <w:p>
      <w:pPr>
        <w:keepNext w:val="0"/>
        <w:keepLines w:val="0"/>
        <w:pageBreakBefore w:val="0"/>
        <w:widowControl/>
        <w:kinsoku/>
        <w:wordWrap/>
        <w:overflowPunct/>
        <w:topLinePunct w:val="0"/>
        <w:autoSpaceDE/>
        <w:autoSpaceDN/>
        <w:bidi w:val="0"/>
        <w:adjustRightInd/>
        <w:snapToGrid/>
        <w:spacing w:line="40" w:lineRule="atLeast"/>
        <w:ind w:firstLine="640" w:firstLineChars="200"/>
        <w:textAlignment w:val="auto"/>
        <w:rPr>
          <w:rFonts w:ascii="Times New Roman" w:hAnsi="Times New Roman" w:eastAsia="仿宋"/>
          <w:color w:val="000000" w:themeColor="text1"/>
          <w:sz w:val="32"/>
          <w:szCs w:val="32"/>
          <w:highlight w:val="none"/>
          <w14:textFill>
            <w14:solidFill>
              <w14:schemeClr w14:val="tx1"/>
            </w14:solidFill>
          </w14:textFill>
        </w:rPr>
      </w:pPr>
      <w:r>
        <w:rPr>
          <w:rFonts w:hint="eastAsia" w:ascii="Times New Roman" w:hAnsi="Times New Roman" w:eastAsia="仿宋"/>
          <w:color w:val="000000" w:themeColor="text1"/>
          <w:sz w:val="32"/>
          <w:szCs w:val="32"/>
          <w:highlight w:val="none"/>
          <w14:textFill>
            <w14:solidFill>
              <w14:schemeClr w14:val="tx1"/>
            </w14:solidFill>
          </w14:textFill>
        </w:rPr>
        <w:t>报告应包括以下附件：</w:t>
      </w:r>
    </w:p>
    <w:p>
      <w:pPr>
        <w:keepNext w:val="0"/>
        <w:keepLines w:val="0"/>
        <w:pageBreakBefore w:val="0"/>
        <w:widowControl/>
        <w:kinsoku/>
        <w:wordWrap/>
        <w:overflowPunct/>
        <w:topLinePunct w:val="0"/>
        <w:autoSpaceDE/>
        <w:autoSpaceDN/>
        <w:bidi w:val="0"/>
        <w:adjustRightInd/>
        <w:snapToGrid/>
        <w:spacing w:line="40" w:lineRule="atLeast"/>
        <w:ind w:firstLine="640" w:firstLineChars="200"/>
        <w:textAlignment w:val="auto"/>
        <w:rPr>
          <w:rFonts w:ascii="Times New Roman" w:hAnsi="Times New Roman" w:eastAsia="仿宋"/>
          <w:color w:val="000000" w:themeColor="text1"/>
          <w:sz w:val="32"/>
          <w:szCs w:val="32"/>
          <w:highlight w:val="none"/>
          <w14:textFill>
            <w14:solidFill>
              <w14:schemeClr w14:val="tx1"/>
            </w14:solidFill>
          </w14:textFill>
        </w:rPr>
      </w:pPr>
      <w:r>
        <w:rPr>
          <w:rFonts w:ascii="Times New Roman" w:hAnsi="Times New Roman" w:eastAsia="仿宋"/>
          <w:color w:val="000000" w:themeColor="text1"/>
          <w:sz w:val="32"/>
          <w:szCs w:val="32"/>
          <w:highlight w:val="none"/>
          <w14:textFill>
            <w14:solidFill>
              <w14:schemeClr w14:val="tx1"/>
            </w14:solidFill>
          </w14:textFill>
        </w:rPr>
        <w:t>1.</w:t>
      </w:r>
      <w:r>
        <w:rPr>
          <w:rFonts w:hint="eastAsia" w:ascii="Times New Roman" w:hAnsi="Times New Roman" w:eastAsia="仿宋"/>
          <w:color w:val="000000" w:themeColor="text1"/>
          <w:sz w:val="32"/>
          <w:szCs w:val="32"/>
          <w:highlight w:val="none"/>
          <w14:textFill>
            <w14:solidFill>
              <w14:schemeClr w14:val="tx1"/>
            </w14:solidFill>
          </w14:textFill>
        </w:rPr>
        <w:t>部门整体支出绩效评价指标评分表</w:t>
      </w:r>
    </w:p>
    <w:p>
      <w:pPr>
        <w:keepNext w:val="0"/>
        <w:keepLines w:val="0"/>
        <w:pageBreakBefore w:val="0"/>
        <w:kinsoku/>
        <w:wordWrap/>
        <w:overflowPunct/>
        <w:topLinePunct w:val="0"/>
        <w:autoSpaceDE/>
        <w:autoSpaceDN/>
        <w:bidi w:val="0"/>
        <w:adjustRightInd/>
        <w:snapToGrid/>
        <w:spacing w:line="40" w:lineRule="atLeast"/>
        <w:ind w:firstLine="640" w:firstLineChars="200"/>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ind w:firstLine="640" w:firstLineChars="200"/>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ind w:firstLine="640" w:firstLineChars="200"/>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ind w:firstLine="640" w:firstLineChars="200"/>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 w:lineRule="atLeast"/>
        <w:textAlignment w:val="auto"/>
        <w:rPr>
          <w:rFonts w:ascii="Times New Roman" w:hAnsi="Times New Roman" w:eastAsia="仿宋"/>
          <w:color w:val="000000" w:themeColor="text1"/>
          <w:sz w:val="32"/>
          <w:szCs w:val="32"/>
          <w:highlight w:val="none"/>
          <w14:textFill>
            <w14:solidFill>
              <w14:schemeClr w14:val="tx1"/>
            </w14:solidFill>
          </w14:textFill>
        </w:rPr>
      </w:pPr>
    </w:p>
    <w:p>
      <w:pPr>
        <w:ind w:right="640"/>
        <w:rPr>
          <w:rFonts w:ascii="Times New Roman" w:hAnsi="Times New Roman" w:eastAsia="仿宋_GB2312"/>
          <w:kern w:val="0"/>
          <w:sz w:val="36"/>
          <w:szCs w:val="36"/>
        </w:rPr>
      </w:pPr>
      <w:r>
        <w:rPr>
          <w:rFonts w:hint="eastAsia" w:ascii="黑体" w:hAnsi="黑体" w:eastAsia="黑体" w:cs="黑体"/>
          <w:kern w:val="0"/>
          <w:sz w:val="32"/>
          <w:szCs w:val="32"/>
        </w:rPr>
        <w:t>附件</w:t>
      </w: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 xml:space="preserve">    </w:t>
      </w:r>
      <w:r>
        <w:rPr>
          <w:rFonts w:hint="eastAsia" w:ascii="Times New Roman" w:hAnsi="Times New Roman" w:eastAsia="仿宋_GB2312"/>
          <w:kern w:val="0"/>
          <w:sz w:val="36"/>
          <w:szCs w:val="36"/>
        </w:rPr>
        <w:t xml:space="preserve"> </w:t>
      </w:r>
    </w:p>
    <w:p>
      <w:pPr>
        <w:ind w:left="359" w:leftChars="171" w:right="640" w:firstLine="1440" w:firstLineChars="400"/>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 xml:space="preserve">部门整体支出绩效评价基础数据表  </w:t>
      </w:r>
    </w:p>
    <w:p>
      <w:pPr>
        <w:ind w:right="640"/>
        <w:rPr>
          <w:rFonts w:ascii="Times New Roman" w:hAnsi="Times New Roman" w:eastAsia="Times New Roman"/>
          <w:kern w:val="0"/>
          <w:sz w:val="24"/>
        </w:rPr>
      </w:pPr>
      <w:r>
        <w:rPr>
          <w:rFonts w:ascii="Times New Roman" w:hAnsi="Times New Roman"/>
          <w:kern w:val="0"/>
          <w:sz w:val="24"/>
        </w:rPr>
        <w:t>填报单位：</w:t>
      </w:r>
      <w:r>
        <w:rPr>
          <w:rFonts w:hint="eastAsia" w:ascii="Times New Roman" w:hAnsi="Times New Roman"/>
          <w:kern w:val="0"/>
          <w:sz w:val="24"/>
        </w:rPr>
        <w:t>（盖章）</w:t>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p>
    <w:tbl>
      <w:tblPr>
        <w:tblStyle w:val="7"/>
        <w:tblW w:w="9464" w:type="dxa"/>
        <w:jc w:val="center"/>
        <w:tblLayout w:type="fixed"/>
        <w:tblCellMar>
          <w:top w:w="0" w:type="dxa"/>
          <w:left w:w="108" w:type="dxa"/>
          <w:bottom w:w="0" w:type="dxa"/>
          <w:right w:w="108" w:type="dxa"/>
        </w:tblCellMar>
      </w:tblPr>
      <w:tblGrid>
        <w:gridCol w:w="3354"/>
        <w:gridCol w:w="2038"/>
        <w:gridCol w:w="2240"/>
        <w:gridCol w:w="1832"/>
      </w:tblGrid>
      <w:tr>
        <w:trPr>
          <w:trHeight w:val="257" w:hRule="atLeast"/>
          <w:jc w:val="center"/>
        </w:trPr>
        <w:tc>
          <w:tcPr>
            <w:tcW w:w="33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财政供养人员情况</w:t>
            </w:r>
          </w:p>
        </w:tc>
        <w:tc>
          <w:tcPr>
            <w:tcW w:w="2038"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Times New Roman"/>
                <w:b/>
                <w:bCs/>
                <w:kern w:val="0"/>
                <w:szCs w:val="21"/>
              </w:rPr>
            </w:pPr>
            <w:r>
              <w:rPr>
                <w:rFonts w:ascii="Times New Roman" w:hAnsi="Times New Roman"/>
                <w:b/>
                <w:bCs/>
                <w:kern w:val="0"/>
                <w:szCs w:val="21"/>
              </w:rPr>
              <w:t>编制数</w:t>
            </w:r>
          </w:p>
        </w:tc>
        <w:tc>
          <w:tcPr>
            <w:tcW w:w="2240"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Times New Roman"/>
                <w:b/>
                <w:bCs/>
                <w:kern w:val="0"/>
                <w:szCs w:val="21"/>
              </w:rPr>
            </w:pPr>
            <w:r>
              <w:rPr>
                <w:rFonts w:ascii="Times New Roman" w:hAnsi="Times New Roman"/>
                <w:b/>
                <w:bCs/>
                <w:kern w:val="0"/>
                <w:szCs w:val="21"/>
              </w:rPr>
              <w:t>202</w:t>
            </w:r>
            <w:r>
              <w:rPr>
                <w:rFonts w:hint="eastAsia" w:ascii="Times New Roman" w:hAnsi="Times New Roman"/>
                <w:b/>
                <w:bCs/>
                <w:kern w:val="0"/>
                <w:szCs w:val="21"/>
              </w:rPr>
              <w:t>2</w:t>
            </w:r>
            <w:r>
              <w:rPr>
                <w:rFonts w:ascii="Times New Roman" w:hAnsi="Times New Roman"/>
                <w:b/>
                <w:bCs/>
                <w:kern w:val="0"/>
                <w:szCs w:val="21"/>
              </w:rPr>
              <w:t>年实际在职人数</w:t>
            </w:r>
          </w:p>
        </w:tc>
        <w:tc>
          <w:tcPr>
            <w:tcW w:w="183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Times New Roman"/>
                <w:b/>
                <w:bCs/>
                <w:kern w:val="0"/>
                <w:szCs w:val="21"/>
              </w:rPr>
            </w:pPr>
            <w:r>
              <w:rPr>
                <w:rFonts w:ascii="Times New Roman" w:hAnsi="Times New Roman"/>
                <w:b/>
                <w:bCs/>
                <w:kern w:val="0"/>
                <w:szCs w:val="21"/>
              </w:rPr>
              <w:t>控制率</w:t>
            </w:r>
          </w:p>
        </w:tc>
      </w:tr>
      <w:tr>
        <w:tblPrEx>
          <w:tblCellMar>
            <w:top w:w="0" w:type="dxa"/>
            <w:left w:w="108" w:type="dxa"/>
            <w:bottom w:w="0" w:type="dxa"/>
            <w:right w:w="108" w:type="dxa"/>
          </w:tblCellMar>
        </w:tblPrEx>
        <w:trPr>
          <w:trHeight w:val="206" w:hRule="atLeast"/>
          <w:jc w:val="center"/>
        </w:trPr>
        <w:tc>
          <w:tcPr>
            <w:tcW w:w="33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p>
        </w:tc>
        <w:tc>
          <w:tcPr>
            <w:tcW w:w="2038"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39</w:t>
            </w:r>
            <w:r>
              <w:rPr>
                <w:rFonts w:ascii="Times New Roman" w:hAnsi="Times New Roman"/>
                <w:kern w:val="0"/>
                <w:szCs w:val="21"/>
              </w:rPr>
              <w:t>　</w:t>
            </w:r>
          </w:p>
        </w:tc>
        <w:tc>
          <w:tcPr>
            <w:tcW w:w="2240" w:type="dxa"/>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宋体"/>
                <w:kern w:val="0"/>
                <w:szCs w:val="21"/>
                <w:lang w:val="en-US" w:eastAsia="zh-CN"/>
              </w:rPr>
            </w:pPr>
            <w:r>
              <w:rPr>
                <w:rFonts w:ascii="Times New Roman" w:hAnsi="Times New Roman"/>
                <w:kern w:val="0"/>
                <w:szCs w:val="21"/>
              </w:rPr>
              <w:t>　</w:t>
            </w:r>
            <w:r>
              <w:rPr>
                <w:rFonts w:hint="eastAsia" w:ascii="Times New Roman" w:hAnsi="Times New Roman"/>
                <w:kern w:val="0"/>
                <w:szCs w:val="21"/>
                <w:lang w:val="en-US" w:eastAsia="zh-CN"/>
              </w:rPr>
              <w:t>35</w:t>
            </w:r>
          </w:p>
        </w:tc>
        <w:tc>
          <w:tcPr>
            <w:tcW w:w="183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100%</w:t>
            </w:r>
            <w:r>
              <w:rPr>
                <w:rFonts w:ascii="Times New Roman" w:hAnsi="Times New Roman"/>
                <w:kern w:val="0"/>
                <w:szCs w:val="21"/>
              </w:rPr>
              <w:t>　</w:t>
            </w:r>
          </w:p>
        </w:tc>
      </w:tr>
      <w:tr>
        <w:tblPrEx>
          <w:tblCellMar>
            <w:top w:w="0" w:type="dxa"/>
            <w:left w:w="108" w:type="dxa"/>
            <w:bottom w:w="0" w:type="dxa"/>
            <w:right w:w="108" w:type="dxa"/>
          </w:tblCellMar>
        </w:tblPrEx>
        <w:trPr>
          <w:trHeight w:val="46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经费控制情况</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b/>
                <w:bCs/>
                <w:kern w:val="0"/>
                <w:szCs w:val="21"/>
              </w:rPr>
            </w:pPr>
            <w:r>
              <w:rPr>
                <w:rFonts w:ascii="Times New Roman" w:hAnsi="Times New Roman"/>
                <w:b/>
                <w:bCs/>
                <w:kern w:val="0"/>
                <w:szCs w:val="21"/>
              </w:rPr>
              <w:t>202</w:t>
            </w:r>
            <w:r>
              <w:rPr>
                <w:rFonts w:hint="eastAsia" w:ascii="Times New Roman" w:hAnsi="Times New Roman"/>
                <w:b/>
                <w:bCs/>
                <w:kern w:val="0"/>
                <w:szCs w:val="21"/>
              </w:rPr>
              <w:t>1</w:t>
            </w:r>
            <w:r>
              <w:rPr>
                <w:rFonts w:ascii="Times New Roman" w:hAnsi="Times New Roman"/>
                <w:b/>
                <w:bCs/>
                <w:kern w:val="0"/>
                <w:szCs w:val="21"/>
              </w:rPr>
              <w:t>年决算数</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b/>
                <w:bCs/>
                <w:kern w:val="0"/>
                <w:szCs w:val="21"/>
              </w:rPr>
            </w:pPr>
            <w:r>
              <w:rPr>
                <w:rFonts w:ascii="Times New Roman" w:hAnsi="Times New Roman"/>
                <w:b/>
                <w:bCs/>
                <w:kern w:val="0"/>
                <w:szCs w:val="21"/>
              </w:rPr>
              <w:t>202</w:t>
            </w:r>
            <w:r>
              <w:rPr>
                <w:rFonts w:hint="eastAsia" w:ascii="Times New Roman" w:hAnsi="Times New Roman"/>
                <w:b/>
                <w:bCs/>
                <w:kern w:val="0"/>
                <w:szCs w:val="21"/>
              </w:rPr>
              <w:t>2</w:t>
            </w:r>
            <w:r>
              <w:rPr>
                <w:rFonts w:ascii="Times New Roman" w:hAnsi="Times New Roman"/>
                <w:b/>
                <w:bCs/>
                <w:kern w:val="0"/>
                <w:szCs w:val="21"/>
              </w:rPr>
              <w:t>年预算数</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b/>
                <w:bCs/>
                <w:kern w:val="0"/>
                <w:szCs w:val="21"/>
              </w:rPr>
            </w:pPr>
            <w:r>
              <w:rPr>
                <w:rFonts w:ascii="Times New Roman" w:hAnsi="Times New Roman"/>
                <w:b/>
                <w:bCs/>
                <w:kern w:val="0"/>
                <w:szCs w:val="21"/>
              </w:rPr>
              <w:t>202</w:t>
            </w:r>
            <w:r>
              <w:rPr>
                <w:rFonts w:hint="eastAsia" w:ascii="Times New Roman" w:hAnsi="Times New Roman"/>
                <w:b/>
                <w:bCs/>
                <w:kern w:val="0"/>
                <w:szCs w:val="21"/>
              </w:rPr>
              <w:t>2</w:t>
            </w:r>
            <w:r>
              <w:rPr>
                <w:rFonts w:ascii="Times New Roman" w:hAnsi="Times New Roman"/>
                <w:b/>
                <w:bCs/>
                <w:kern w:val="0"/>
                <w:szCs w:val="21"/>
              </w:rPr>
              <w:t>年决算数</w:t>
            </w:r>
          </w:p>
        </w:tc>
      </w:tr>
      <w:tr>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一、部门基本支出</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583.08</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398.43</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685.85</w:t>
            </w:r>
          </w:p>
        </w:tc>
      </w:tr>
      <w:tr>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其中：公用经费</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51.41</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52.65</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53.10</w:t>
            </w:r>
          </w:p>
        </w:tc>
      </w:tr>
      <w:tr>
        <w:tblPrEx>
          <w:tblCellMar>
            <w:top w:w="0" w:type="dxa"/>
            <w:left w:w="108" w:type="dxa"/>
            <w:bottom w:w="0" w:type="dxa"/>
            <w:right w:w="108" w:type="dxa"/>
          </w:tblCellMar>
        </w:tblPrEx>
        <w:trPr>
          <w:trHeight w:val="47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其中：办公经费</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508</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6.7</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4.82</w:t>
            </w:r>
          </w:p>
        </w:tc>
      </w:tr>
      <w:tr>
        <w:tblPrEx>
          <w:tblCellMar>
            <w:top w:w="0" w:type="dxa"/>
            <w:left w:w="108" w:type="dxa"/>
            <w:bottom w:w="0" w:type="dxa"/>
            <w:right w:w="108" w:type="dxa"/>
          </w:tblCellMar>
        </w:tblPrEx>
        <w:trPr>
          <w:trHeight w:val="460"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水费、电费、差旅费</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3.81</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8.07</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13.03</w:t>
            </w:r>
          </w:p>
        </w:tc>
      </w:tr>
      <w:tr>
        <w:tblPrEx>
          <w:tblCellMar>
            <w:top w:w="0" w:type="dxa"/>
            <w:left w:w="108" w:type="dxa"/>
            <w:bottom w:w="0" w:type="dxa"/>
            <w:right w:w="108" w:type="dxa"/>
          </w:tblCellMar>
        </w:tblPrEx>
        <w:trPr>
          <w:trHeight w:val="47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会议费、培训费</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5.6</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7.05</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2.8</w:t>
            </w:r>
          </w:p>
        </w:tc>
      </w:tr>
      <w:tr>
        <w:tblPrEx>
          <w:tblCellMar>
            <w:top w:w="0" w:type="dxa"/>
            <w:left w:w="108" w:type="dxa"/>
            <w:bottom w:w="0" w:type="dxa"/>
            <w:right w:w="108" w:type="dxa"/>
          </w:tblCellMar>
        </w:tblPrEx>
        <w:trPr>
          <w:trHeight w:val="432"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1155" w:firstLineChars="550"/>
              <w:jc w:val="left"/>
              <w:rPr>
                <w:rFonts w:ascii="Times New Roman" w:hAnsi="Times New Roman" w:eastAsia="Times New Roman"/>
                <w:kern w:val="0"/>
                <w:szCs w:val="21"/>
              </w:rPr>
            </w:pPr>
            <w:r>
              <w:rPr>
                <w:rFonts w:ascii="Times New Roman" w:hAnsi="Times New Roman"/>
                <w:kern w:val="0"/>
                <w:szCs w:val="21"/>
              </w:rPr>
              <w:t>……</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p>
        </w:tc>
        <w:tc>
          <w:tcPr>
            <w:tcW w:w="1832"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p>
        </w:tc>
      </w:tr>
      <w:tr>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945" w:firstLineChars="450"/>
              <w:jc w:val="left"/>
              <w:rPr>
                <w:rFonts w:ascii="Times New Roman" w:hAnsi="Times New Roman" w:eastAsia="Times New Roman"/>
                <w:kern w:val="0"/>
                <w:szCs w:val="21"/>
              </w:rPr>
            </w:pPr>
            <w:r>
              <w:rPr>
                <w:rFonts w:ascii="Times New Roman" w:hAnsi="Times New Roman"/>
                <w:kern w:val="0"/>
                <w:szCs w:val="21"/>
              </w:rPr>
              <w:t>三公经费</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0.5</w:t>
            </w: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ascii="Times New Roman" w:hAnsi="Times New Roman"/>
                <w:kern w:val="0"/>
                <w:szCs w:val="21"/>
              </w:rPr>
              <w:t>　</w:t>
            </w:r>
            <w:r>
              <w:rPr>
                <w:rFonts w:hint="eastAsia" w:ascii="Times New Roman" w:hAnsi="Times New Roman"/>
                <w:kern w:val="0"/>
                <w:szCs w:val="21"/>
                <w:lang w:val="en-US" w:eastAsia="zh-CN"/>
              </w:rPr>
              <w:t>0.5</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0.17</w:t>
            </w:r>
            <w:r>
              <w:rPr>
                <w:rFonts w:ascii="Times New Roman" w:hAnsi="Times New Roman"/>
                <w:kern w:val="0"/>
                <w:szCs w:val="21"/>
              </w:rPr>
              <w:t>　</w:t>
            </w:r>
          </w:p>
        </w:tc>
      </w:tr>
      <w:tr>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 xml:space="preserve">   1、公务用车购置和维护经费</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r>
      <w:tr>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其中：公交车购置</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r>
      <w:tr>
        <w:tblPrEx>
          <w:tblCellMar>
            <w:top w:w="0" w:type="dxa"/>
            <w:left w:w="108" w:type="dxa"/>
            <w:bottom w:w="0" w:type="dxa"/>
            <w:right w:w="108" w:type="dxa"/>
          </w:tblCellMar>
        </w:tblPrEx>
        <w:trPr>
          <w:trHeight w:val="49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公交车运行维护</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r>
      <w:tr>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 xml:space="preserve">   2、出国经费</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r>
      <w:tr>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 xml:space="preserve">   3、公务接待</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Times New Roman"/>
                <w:kern w:val="0"/>
                <w:szCs w:val="21"/>
                <w:lang w:val="en-US"/>
              </w:rPr>
            </w:pPr>
            <w:r>
              <w:rPr>
                <w:rFonts w:hint="eastAsia" w:ascii="Times New Roman" w:hAnsi="Times New Roman"/>
                <w:kern w:val="0"/>
                <w:szCs w:val="21"/>
                <w:lang w:val="en-US" w:eastAsia="zh-CN"/>
              </w:rPr>
              <w:t>0.5</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0.5</w:t>
            </w: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ascii="Times New Roman" w:hAnsi="Times New Roman"/>
                <w:kern w:val="0"/>
                <w:szCs w:val="21"/>
              </w:rPr>
              <w:t>　</w:t>
            </w:r>
            <w:r>
              <w:rPr>
                <w:rFonts w:hint="eastAsia" w:ascii="Times New Roman" w:hAnsi="Times New Roman"/>
                <w:kern w:val="0"/>
                <w:szCs w:val="21"/>
                <w:lang w:val="en-US" w:eastAsia="zh-CN"/>
              </w:rPr>
              <w:t>0.17</w:t>
            </w:r>
          </w:p>
        </w:tc>
      </w:tr>
      <w:tr>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二、部门项目支出</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267.93</w:t>
            </w: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490.82</w:t>
            </w:r>
          </w:p>
        </w:tc>
      </w:tr>
      <w:tr>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 xml:space="preserve"> 1、业务工作专项(一个项目一行)</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267.93</w:t>
            </w: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490.82</w:t>
            </w:r>
          </w:p>
        </w:tc>
      </w:tr>
      <w:tr>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210" w:firstLineChars="100"/>
              <w:jc w:val="left"/>
              <w:rPr>
                <w:rFonts w:hint="eastAsia" w:ascii="Times New Roman" w:hAnsi="Times New Roman" w:eastAsia="宋体"/>
                <w:kern w:val="0"/>
                <w:szCs w:val="21"/>
                <w:lang w:eastAsia="zh-CN"/>
              </w:rPr>
            </w:pPr>
            <w:r>
              <w:rPr>
                <w:rFonts w:hint="eastAsia" w:ascii="Times New Roman" w:hAnsi="Times New Roman"/>
                <w:kern w:val="0"/>
                <w:szCs w:val="21"/>
                <w:lang w:eastAsia="zh-CN"/>
              </w:rPr>
              <w:t>公路养护</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135.09</w:t>
            </w: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p>
        </w:tc>
        <w:tc>
          <w:tcPr>
            <w:tcW w:w="1832"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260.95</w:t>
            </w:r>
          </w:p>
        </w:tc>
      </w:tr>
      <w:tr>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hint="eastAsia" w:ascii="Times New Roman" w:hAnsi="Times New Roman" w:eastAsia="宋体"/>
                <w:kern w:val="0"/>
                <w:szCs w:val="21"/>
                <w:lang w:val="en-US" w:eastAsia="zh-CN"/>
              </w:rPr>
            </w:pPr>
            <w:r>
              <w:rPr>
                <w:rFonts w:ascii="Times New Roman" w:hAnsi="Times New Roman"/>
                <w:kern w:val="0"/>
                <w:szCs w:val="21"/>
              </w:rPr>
              <w:t xml:space="preserve"> </w:t>
            </w:r>
            <w:r>
              <w:rPr>
                <w:rFonts w:hint="eastAsia" w:ascii="Times New Roman" w:hAnsi="Times New Roman"/>
                <w:kern w:val="0"/>
                <w:szCs w:val="21"/>
                <w:lang w:val="en-US" w:eastAsia="zh-CN"/>
              </w:rPr>
              <w:t xml:space="preserve"> 安防工程</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86.72</w:t>
            </w: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Times New Roman"/>
                <w:kern w:val="0"/>
                <w:szCs w:val="21"/>
                <w:lang w:val="en-US"/>
              </w:rPr>
            </w:pPr>
            <w:r>
              <w:rPr>
                <w:rFonts w:hint="eastAsia" w:ascii="Times New Roman" w:hAnsi="Times New Roman"/>
                <w:kern w:val="0"/>
                <w:szCs w:val="21"/>
                <w:lang w:val="en-US" w:eastAsia="zh-CN"/>
              </w:rPr>
              <w:t>188.17</w:t>
            </w:r>
          </w:p>
        </w:tc>
      </w:tr>
      <w:tr>
        <w:tblPrEx>
          <w:tblCellMar>
            <w:top w:w="0" w:type="dxa"/>
            <w:left w:w="108" w:type="dxa"/>
            <w:bottom w:w="0" w:type="dxa"/>
            <w:right w:w="108" w:type="dxa"/>
          </w:tblCellMar>
        </w:tblPrEx>
        <w:trPr>
          <w:trHeight w:val="424"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both"/>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 xml:space="preserve">  危桥改造</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46.12</w:t>
            </w: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p>
        </w:tc>
        <w:tc>
          <w:tcPr>
            <w:tcW w:w="1832"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41.7</w:t>
            </w:r>
          </w:p>
        </w:tc>
      </w:tr>
      <w:tr>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Times New Roman"/>
                <w:kern w:val="0"/>
                <w:szCs w:val="21"/>
              </w:rPr>
            </w:pPr>
            <w:r>
              <w:rPr>
                <w:rFonts w:ascii="Times New Roman" w:hAnsi="Times New Roman"/>
                <w:kern w:val="0"/>
                <w:szCs w:val="21"/>
              </w:rPr>
              <w:t>政府采购金额</w:t>
            </w:r>
          </w:p>
        </w:tc>
        <w:tc>
          <w:tcPr>
            <w:tcW w:w="2038"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　</w:t>
            </w:r>
          </w:p>
        </w:tc>
      </w:tr>
      <w:tr>
        <w:tblPrEx>
          <w:tblCellMar>
            <w:top w:w="0" w:type="dxa"/>
            <w:left w:w="108" w:type="dxa"/>
            <w:bottom w:w="0" w:type="dxa"/>
            <w:right w:w="108" w:type="dxa"/>
          </w:tblCellMar>
        </w:tblPrEx>
        <w:trPr>
          <w:trHeight w:val="87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Times New Roman"/>
                <w:kern w:val="0"/>
                <w:szCs w:val="21"/>
              </w:rPr>
            </w:pPr>
            <w:r>
              <w:rPr>
                <w:rFonts w:ascii="Times New Roman" w:hAnsi="Times New Roman"/>
                <w:kern w:val="0"/>
                <w:szCs w:val="21"/>
              </w:rPr>
              <w:t>厉行节约保障措施</w:t>
            </w:r>
          </w:p>
        </w:tc>
        <w:tc>
          <w:tcPr>
            <w:tcW w:w="611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Times New Roman"/>
                <w:kern w:val="0"/>
                <w:szCs w:val="21"/>
              </w:rPr>
            </w:pPr>
            <w:r>
              <w:rPr>
                <w:rFonts w:hint="eastAsia" w:ascii="Times New Roman" w:hAnsi="Times New Roman"/>
                <w:kern w:val="0"/>
                <w:szCs w:val="21"/>
                <w:lang w:eastAsia="zh-CN"/>
              </w:rPr>
              <w:t>节约支出，压减三公经费支出</w:t>
            </w:r>
            <w:r>
              <w:rPr>
                <w:rFonts w:hint="eastAsia" w:ascii="Times New Roman" w:hAnsi="Times New Roman"/>
                <w:kern w:val="0"/>
                <w:szCs w:val="21"/>
              </w:rPr>
              <w:t>　</w:t>
            </w:r>
            <w:r>
              <w:rPr>
                <w:rFonts w:ascii="Times New Roman" w:hAnsi="Times New Roman"/>
                <w:kern w:val="0"/>
                <w:szCs w:val="21"/>
              </w:rPr>
              <w:t>　</w:t>
            </w:r>
          </w:p>
        </w:tc>
      </w:tr>
    </w:tbl>
    <w:p>
      <w:pPr>
        <w:rPr>
          <w:rFonts w:ascii="Times New Roman" w:hAnsi="Times New Roman"/>
          <w:kern w:val="0"/>
          <w:sz w:val="22"/>
        </w:rPr>
      </w:pPr>
      <w:r>
        <w:rPr>
          <w:rFonts w:ascii="Times New Roman" w:hAnsi="Times New Roman"/>
          <w:kern w:val="0"/>
          <w:sz w:val="22"/>
        </w:rPr>
        <w:t>说明：“项目支出”需要填报基本支出以外的所有项目支出情况，包括业务工作项目、运行维护项目和市级专项资金等；“公用经费”填报基本支出中的一般商品和服务支出。</w:t>
      </w:r>
    </w:p>
    <w:p>
      <w:pPr>
        <w:rPr>
          <w:rFonts w:ascii="Times New Roman" w:hAnsi="Times New Roman"/>
          <w:kern w:val="0"/>
          <w:sz w:val="22"/>
        </w:rPr>
      </w:pPr>
    </w:p>
    <w:p>
      <w:pPr>
        <w:rPr>
          <w:rFonts w:hint="eastAsia" w:ascii="Times New Roman" w:hAnsi="Times New Roman" w:eastAsia="仿宋_GB2312" w:cs="Times New Roman"/>
          <w:sz w:val="24"/>
          <w:lang w:val="en-US" w:eastAsia="zh-CN"/>
        </w:rPr>
      </w:pPr>
      <w:r>
        <w:rPr>
          <w:rFonts w:ascii="Times New Roman" w:hAnsi="Times New Roman" w:eastAsia="仿宋_GB2312" w:cs="Times New Roman"/>
          <w:sz w:val="24"/>
        </w:rPr>
        <w:t>填表人：</w:t>
      </w:r>
      <w:r>
        <w:rPr>
          <w:rFonts w:hint="eastAsia" w:ascii="Times New Roman" w:hAnsi="Times New Roman" w:eastAsia="仿宋_GB2312" w:cs="Times New Roman"/>
          <w:sz w:val="24"/>
          <w:lang w:eastAsia="zh-CN"/>
        </w:rPr>
        <w:t>谢慧子</w:t>
      </w:r>
      <w:r>
        <w:rPr>
          <w:rFonts w:ascii="Times New Roman" w:hAnsi="Times New Roman" w:eastAsia="仿宋_GB2312" w:cs="Times New Roman"/>
          <w:sz w:val="24"/>
        </w:rPr>
        <w:t xml:space="preserve"> </w:t>
      </w:r>
      <w:r>
        <w:rPr>
          <w:rFonts w:hint="eastAsia" w:ascii="Times New Roman" w:hAnsi="Times New Roman" w:eastAsia="仿宋_GB2312" w:cs="Times New Roman"/>
          <w:sz w:val="24"/>
          <w:lang w:val="en-US" w:eastAsia="zh-CN"/>
        </w:rPr>
        <w:t xml:space="preserve">      </w:t>
      </w:r>
      <w:r>
        <w:rPr>
          <w:rFonts w:ascii="Times New Roman" w:hAnsi="Times New Roman" w:eastAsia="仿宋_GB2312" w:cs="Times New Roman"/>
          <w:sz w:val="24"/>
        </w:rPr>
        <w:t>填报日期：</w:t>
      </w:r>
      <w:r>
        <w:rPr>
          <w:rFonts w:hint="eastAsia" w:ascii="Times New Roman" w:hAnsi="Times New Roman" w:eastAsia="仿宋_GB2312" w:cs="Times New Roman"/>
          <w:sz w:val="24"/>
          <w:lang w:val="en-US" w:eastAsia="zh-CN"/>
        </w:rPr>
        <w:t>2023年3月31日</w:t>
      </w:r>
      <w:r>
        <w:rPr>
          <w:rFonts w:ascii="Times New Roman" w:hAnsi="Times New Roman" w:eastAsia="仿宋_GB2312" w:cs="Times New Roman"/>
          <w:sz w:val="24"/>
        </w:rPr>
        <w:t xml:space="preserve"> </w:t>
      </w:r>
      <w:r>
        <w:rPr>
          <w:rFonts w:hint="eastAsia" w:ascii="Times New Roman" w:hAnsi="Times New Roman" w:eastAsia="仿宋_GB2312" w:cs="Times New Roman"/>
          <w:sz w:val="24"/>
          <w:lang w:val="en-US" w:eastAsia="zh-CN"/>
        </w:rPr>
        <w:t xml:space="preserve">   </w:t>
      </w:r>
      <w:r>
        <w:rPr>
          <w:rFonts w:ascii="Times New Roman" w:hAnsi="Times New Roman" w:eastAsia="仿宋_GB2312" w:cs="Times New Roman"/>
          <w:sz w:val="24"/>
        </w:rPr>
        <w:t>联系电话：</w:t>
      </w:r>
      <w:r>
        <w:rPr>
          <w:rFonts w:hint="eastAsia" w:ascii="Times New Roman" w:hAnsi="Times New Roman" w:eastAsia="仿宋_GB2312" w:cs="Times New Roman"/>
          <w:sz w:val="24"/>
          <w:lang w:val="en-US" w:eastAsia="zh-CN"/>
        </w:rPr>
        <w:t>17507479664</w:t>
      </w:r>
    </w:p>
    <w:p>
      <w:pPr>
        <w:rPr>
          <w:rFonts w:hint="eastAsia" w:ascii="Times New Roman" w:hAnsi="Times New Roman" w:eastAsia="仿宋_GB2312" w:cs="Times New Roman"/>
          <w:sz w:val="24"/>
          <w:lang w:eastAsia="zh-CN"/>
        </w:rPr>
      </w:pPr>
      <w:r>
        <w:rPr>
          <w:rFonts w:ascii="Times New Roman" w:hAnsi="Times New Roman" w:eastAsia="仿宋_GB2312" w:cs="Times New Roman"/>
          <w:sz w:val="24"/>
        </w:rPr>
        <w:t>单位负责人签字：</w:t>
      </w:r>
      <w:r>
        <w:rPr>
          <w:rFonts w:hint="eastAsia" w:ascii="Times New Roman" w:hAnsi="Times New Roman" w:eastAsia="仿宋_GB2312" w:cs="Times New Roman"/>
          <w:sz w:val="24"/>
          <w:lang w:eastAsia="zh-CN"/>
        </w:rPr>
        <w:t>陈述</w:t>
      </w:r>
    </w:p>
    <w:p>
      <w:pPr>
        <w:rPr>
          <w:rFonts w:ascii="Times New Roman" w:hAnsi="Times New Roman" w:eastAsia="黑体"/>
        </w:rPr>
      </w:pPr>
      <w:r>
        <w:rPr>
          <w:rFonts w:ascii="Times New Roman" w:hAnsi="Times New Roman" w:eastAsia="黑体"/>
          <w:sz w:val="32"/>
          <w:szCs w:val="32"/>
        </w:rPr>
        <w:t>附件3</w:t>
      </w:r>
    </w:p>
    <w:tbl>
      <w:tblPr>
        <w:tblStyle w:val="7"/>
        <w:tblW w:w="9999" w:type="dxa"/>
        <w:jc w:val="center"/>
        <w:tblLayout w:type="fixed"/>
        <w:tblCellMar>
          <w:top w:w="0" w:type="dxa"/>
          <w:left w:w="108" w:type="dxa"/>
          <w:bottom w:w="0" w:type="dxa"/>
          <w:right w:w="108" w:type="dxa"/>
        </w:tblCellMar>
      </w:tblPr>
      <w:tblGrid>
        <w:gridCol w:w="1363"/>
        <w:gridCol w:w="1020"/>
        <w:gridCol w:w="1110"/>
        <w:gridCol w:w="1125"/>
        <w:gridCol w:w="1110"/>
        <w:gridCol w:w="255"/>
        <w:gridCol w:w="810"/>
        <w:gridCol w:w="210"/>
        <w:gridCol w:w="960"/>
        <w:gridCol w:w="765"/>
        <w:gridCol w:w="300"/>
        <w:gridCol w:w="971"/>
      </w:tblGrid>
      <w:tr>
        <w:tblPrEx>
          <w:tblCellMar>
            <w:top w:w="0" w:type="dxa"/>
            <w:left w:w="108" w:type="dxa"/>
            <w:bottom w:w="0" w:type="dxa"/>
            <w:right w:w="108" w:type="dxa"/>
          </w:tblCellMar>
        </w:tblPrEx>
        <w:trPr>
          <w:trHeight w:val="549" w:hRule="atLeast"/>
          <w:jc w:val="center"/>
        </w:trPr>
        <w:tc>
          <w:tcPr>
            <w:tcW w:w="9999" w:type="dxa"/>
            <w:gridSpan w:val="12"/>
            <w:tcBorders>
              <w:top w:val="nil"/>
              <w:left w:val="nil"/>
              <w:bottom w:val="nil"/>
              <w:right w:val="nil"/>
            </w:tcBorders>
            <w:shd w:val="clear" w:color="auto" w:fill="auto"/>
            <w:noWrap/>
            <w:vAlign w:val="center"/>
          </w:tcPr>
          <w:p>
            <w:pPr>
              <w:ind w:firstLine="2880" w:firstLineChars="800"/>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部门整体支出绩效自评表</w:t>
            </w:r>
          </w:p>
        </w:tc>
      </w:tr>
      <w:tr>
        <w:tblPrEx>
          <w:tblCellMar>
            <w:top w:w="0" w:type="dxa"/>
            <w:left w:w="108" w:type="dxa"/>
            <w:bottom w:w="0" w:type="dxa"/>
            <w:right w:w="108" w:type="dxa"/>
          </w:tblCellMar>
        </w:tblPrEx>
        <w:trPr>
          <w:trHeight w:val="270" w:hRule="atLeast"/>
          <w:jc w:val="center"/>
        </w:trPr>
        <w:tc>
          <w:tcPr>
            <w:tcW w:w="9999" w:type="dxa"/>
            <w:gridSpan w:val="12"/>
            <w:tcBorders>
              <w:top w:val="nil"/>
              <w:left w:val="nil"/>
              <w:bottom w:val="single" w:color="auto" w:sz="4" w:space="0"/>
              <w:right w:val="nil"/>
            </w:tcBorders>
            <w:shd w:val="clear" w:color="auto" w:fill="auto"/>
            <w:noWrap/>
            <w:vAlign w:val="center"/>
          </w:tcPr>
          <w:p>
            <w:pPr>
              <w:widowControl/>
              <w:rPr>
                <w:rFonts w:ascii="Times New Roman" w:hAnsi="Times New Roman"/>
                <w:color w:val="000000"/>
                <w:kern w:val="0"/>
                <w:sz w:val="22"/>
              </w:rPr>
            </w:pPr>
            <w:r>
              <w:rPr>
                <w:rFonts w:ascii="Times New Roman" w:hAnsi="Times New Roman"/>
                <w:color w:val="000000"/>
                <w:kern w:val="0"/>
                <w:sz w:val="22"/>
              </w:rPr>
              <w:t>填报单位： （盖章）</w:t>
            </w:r>
            <w:r>
              <w:rPr>
                <w:rFonts w:hint="eastAsia" w:ascii="Times New Roman" w:hAnsi="Times New Roman"/>
                <w:color w:val="000000"/>
                <w:kern w:val="0"/>
                <w:sz w:val="22"/>
              </w:rPr>
              <w:t xml:space="preserve">                 （2022年度）</w:t>
            </w:r>
          </w:p>
        </w:tc>
      </w:tr>
      <w:tr>
        <w:tblPrEx>
          <w:tblCellMar>
            <w:top w:w="0" w:type="dxa"/>
            <w:left w:w="108" w:type="dxa"/>
            <w:bottom w:w="0" w:type="dxa"/>
            <w:right w:w="108" w:type="dxa"/>
          </w:tblCellMar>
        </w:tblPrEx>
        <w:trPr>
          <w:trHeight w:val="480" w:hRule="atLeast"/>
          <w:jc w:val="center"/>
        </w:trPr>
        <w:tc>
          <w:tcPr>
            <w:tcW w:w="1363" w:type="dxa"/>
            <w:tcBorders>
              <w:top w:val="nil"/>
              <w:left w:val="single" w:color="auto" w:sz="4" w:space="0"/>
              <w:bottom w:val="single" w:color="auto" w:sz="4" w:space="0"/>
              <w:right w:val="single" w:color="auto" w:sz="4" w:space="0"/>
            </w:tcBorders>
            <w:shd w:val="clear" w:color="auto" w:fill="auto"/>
            <w:noWrap/>
            <w:vAlign w:val="center"/>
          </w:tcPr>
          <w:p>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部门名称</w:t>
            </w: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衡阳市公路建设养护中心雁峰分中心</w:t>
            </w:r>
          </w:p>
        </w:tc>
        <w:tc>
          <w:tcPr>
            <w:tcW w:w="102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执行数</w:t>
            </w:r>
          </w:p>
        </w:tc>
        <w:tc>
          <w:tcPr>
            <w:tcW w:w="960" w:type="dxa"/>
            <w:tcBorders>
              <w:top w:val="single" w:color="auto" w:sz="4" w:space="0"/>
              <w:left w:val="nil"/>
              <w:bottom w:val="single" w:color="auto" w:sz="4" w:space="0"/>
              <w:right w:val="single" w:color="000000" w:sz="4" w:space="0"/>
            </w:tcBorders>
            <w:shd w:val="clear" w:color="auto" w:fill="auto"/>
            <w:noWrap/>
          </w:tcPr>
          <w:p>
            <w:pPr>
              <w:widowControl/>
              <w:spacing w:line="240" w:lineRule="exact"/>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资金执行率</w:t>
            </w:r>
          </w:p>
        </w:tc>
        <w:tc>
          <w:tcPr>
            <w:tcW w:w="106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分值</w:t>
            </w:r>
          </w:p>
        </w:tc>
        <w:tc>
          <w:tcPr>
            <w:tcW w:w="971"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得分</w:t>
            </w:r>
          </w:p>
        </w:tc>
      </w:tr>
      <w:tr>
        <w:tblPrEx>
          <w:tblCellMar>
            <w:top w:w="0" w:type="dxa"/>
            <w:left w:w="108" w:type="dxa"/>
            <w:bottom w:w="0" w:type="dxa"/>
            <w:right w:w="108" w:type="dxa"/>
          </w:tblCellMar>
        </w:tblPrEx>
        <w:trPr>
          <w:trHeight w:val="395" w:hRule="atLeast"/>
          <w:jc w:val="center"/>
        </w:trPr>
        <w:tc>
          <w:tcPr>
            <w:tcW w:w="1363" w:type="dxa"/>
            <w:vMerge w:val="restart"/>
            <w:tcBorders>
              <w:top w:val="nil"/>
              <w:left w:val="single" w:color="auto" w:sz="4" w:space="0"/>
              <w:right w:val="single" w:color="auto" w:sz="4" w:space="0"/>
            </w:tcBorders>
            <w:shd w:val="clear" w:color="auto" w:fill="auto"/>
            <w:noWrap/>
            <w:vAlign w:val="center"/>
          </w:tcPr>
          <w:p>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年度预算</w:t>
            </w:r>
          </w:p>
          <w:p>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申请（万元）</w:t>
            </w: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资金总额：</w:t>
            </w:r>
            <w:r>
              <w:rPr>
                <w:rFonts w:hint="eastAsia" w:ascii="Times New Roman" w:hAnsi="Times New Roman" w:eastAsia="仿宋_GB2312"/>
                <w:color w:val="000000"/>
                <w:kern w:val="0"/>
                <w:szCs w:val="21"/>
                <w:lang w:val="en-US" w:eastAsia="zh-CN"/>
              </w:rPr>
              <w:t>398.43</w:t>
            </w:r>
          </w:p>
        </w:tc>
        <w:tc>
          <w:tcPr>
            <w:tcW w:w="102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398.43</w:t>
            </w:r>
          </w:p>
        </w:tc>
        <w:tc>
          <w:tcPr>
            <w:tcW w:w="960"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val="en-US" w:eastAsia="zh-CN"/>
              </w:rPr>
              <w:t>100%</w:t>
            </w:r>
          </w:p>
        </w:tc>
        <w:tc>
          <w:tcPr>
            <w:tcW w:w="1065"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ind w:firstLine="420" w:firstLineChars="200"/>
              <w:jc w:val="both"/>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971"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tc>
      </w:tr>
      <w:tr>
        <w:tblPrEx>
          <w:tblCellMar>
            <w:top w:w="0" w:type="dxa"/>
            <w:left w:w="108" w:type="dxa"/>
            <w:bottom w:w="0" w:type="dxa"/>
            <w:right w:w="108" w:type="dxa"/>
          </w:tblCellMar>
        </w:tblPrEx>
        <w:trPr>
          <w:trHeight w:val="370" w:hRule="atLeast"/>
          <w:jc w:val="center"/>
        </w:trPr>
        <w:tc>
          <w:tcPr>
            <w:tcW w:w="1363" w:type="dxa"/>
            <w:vMerge w:val="continue"/>
            <w:tcBorders>
              <w:left w:val="single" w:color="auto" w:sz="4" w:space="0"/>
              <w:right w:val="single" w:color="auto" w:sz="4" w:space="0"/>
            </w:tcBorders>
            <w:shd w:val="clear" w:color="auto" w:fill="auto"/>
            <w:noWrap/>
            <w:vAlign w:val="center"/>
          </w:tcPr>
          <w:p>
            <w:pPr>
              <w:widowControl/>
              <w:spacing w:line="260" w:lineRule="exact"/>
              <w:jc w:val="center"/>
              <w:rPr>
                <w:rFonts w:ascii="Times New Roman" w:hAnsi="Times New Roman" w:eastAsia="仿宋_GB2312"/>
                <w:color w:val="000000"/>
                <w:kern w:val="0"/>
                <w:szCs w:val="21"/>
              </w:rPr>
            </w:pP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rPr>
                <w:rFonts w:ascii="Times New Roman" w:hAnsi="Times New Roman" w:eastAsia="仿宋_GB2312"/>
                <w:color w:val="000000"/>
                <w:kern w:val="0"/>
                <w:szCs w:val="21"/>
              </w:rPr>
            </w:pPr>
            <w:r>
              <w:rPr>
                <w:rFonts w:ascii="Times New Roman" w:hAnsi="Times New Roman" w:eastAsia="仿宋_GB2312"/>
                <w:color w:val="000000"/>
                <w:kern w:val="0"/>
                <w:szCs w:val="21"/>
              </w:rPr>
              <w:t>按收入性质分：</w:t>
            </w:r>
            <w:r>
              <w:rPr>
                <w:rFonts w:hint="eastAsia" w:ascii="Times New Roman" w:hAnsi="Times New Roman" w:eastAsia="仿宋_GB2312"/>
                <w:color w:val="000000"/>
                <w:kern w:val="0"/>
                <w:szCs w:val="21"/>
              </w:rPr>
              <w:t xml:space="preserve">                         </w:t>
            </w:r>
          </w:p>
        </w:tc>
        <w:tc>
          <w:tcPr>
            <w:tcW w:w="4016"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按支出性质分：</w:t>
            </w:r>
          </w:p>
        </w:tc>
      </w:tr>
      <w:tr>
        <w:tblPrEx>
          <w:tblCellMar>
            <w:top w:w="0" w:type="dxa"/>
            <w:left w:w="108" w:type="dxa"/>
            <w:bottom w:w="0" w:type="dxa"/>
            <w:right w:w="108" w:type="dxa"/>
          </w:tblCellMar>
        </w:tblPrEx>
        <w:trPr>
          <w:trHeight w:val="355" w:hRule="atLeast"/>
          <w:jc w:val="center"/>
        </w:trPr>
        <w:tc>
          <w:tcPr>
            <w:tcW w:w="1363" w:type="dxa"/>
            <w:vMerge w:val="continue"/>
            <w:tcBorders>
              <w:left w:val="single" w:color="auto" w:sz="4" w:space="0"/>
              <w:right w:val="single" w:color="auto" w:sz="4" w:space="0"/>
            </w:tcBorders>
            <w:shd w:val="clear" w:color="auto" w:fill="auto"/>
            <w:noWrap/>
            <w:vAlign w:val="center"/>
          </w:tcPr>
          <w:p>
            <w:pPr>
              <w:widowControl/>
              <w:spacing w:line="260" w:lineRule="exact"/>
              <w:jc w:val="center"/>
              <w:rPr>
                <w:rFonts w:ascii="Times New Roman" w:hAnsi="Times New Roman" w:eastAsia="仿宋_GB2312"/>
                <w:color w:val="000000"/>
                <w:kern w:val="0"/>
                <w:szCs w:val="21"/>
              </w:rPr>
            </w:pP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rPr>
                <w:rFonts w:ascii="Times New Roman" w:hAnsi="Times New Roman" w:eastAsia="仿宋_GB2312"/>
                <w:color w:val="000000"/>
                <w:kern w:val="0"/>
                <w:szCs w:val="21"/>
              </w:rPr>
            </w:pPr>
            <w:r>
              <w:rPr>
                <w:rFonts w:ascii="Times New Roman" w:hAnsi="Times New Roman" w:eastAsia="仿宋_GB2312"/>
                <w:color w:val="000000"/>
                <w:kern w:val="0"/>
                <w:szCs w:val="21"/>
              </w:rPr>
              <w:t>其中： 一般公共预算收入：</w:t>
            </w:r>
          </w:p>
        </w:tc>
        <w:tc>
          <w:tcPr>
            <w:tcW w:w="4016"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rPr>
              <w:t xml:space="preserve"> 其中：基本支出：</w:t>
            </w:r>
            <w:r>
              <w:rPr>
                <w:rFonts w:hint="eastAsia" w:ascii="Times New Roman" w:hAnsi="Times New Roman" w:eastAsia="仿宋_GB2312"/>
                <w:color w:val="000000"/>
                <w:kern w:val="0"/>
                <w:szCs w:val="21"/>
                <w:lang w:val="en-US" w:eastAsia="zh-CN"/>
              </w:rPr>
              <w:t>398.43</w:t>
            </w:r>
          </w:p>
        </w:tc>
      </w:tr>
      <w:tr>
        <w:tblPrEx>
          <w:tblCellMar>
            <w:top w:w="0" w:type="dxa"/>
            <w:left w:w="108" w:type="dxa"/>
            <w:bottom w:w="0" w:type="dxa"/>
            <w:right w:w="108" w:type="dxa"/>
          </w:tblCellMar>
        </w:tblPrEx>
        <w:trPr>
          <w:trHeight w:val="385" w:hRule="atLeast"/>
          <w:jc w:val="center"/>
        </w:trPr>
        <w:tc>
          <w:tcPr>
            <w:tcW w:w="1363" w:type="dxa"/>
            <w:vMerge w:val="continue"/>
            <w:tcBorders>
              <w:left w:val="single" w:color="auto" w:sz="4" w:space="0"/>
              <w:right w:val="single" w:color="auto" w:sz="4" w:space="0"/>
            </w:tcBorders>
            <w:shd w:val="clear" w:color="auto" w:fill="auto"/>
            <w:noWrap/>
            <w:vAlign w:val="center"/>
          </w:tcPr>
          <w:p>
            <w:pPr>
              <w:widowControl/>
              <w:spacing w:line="260" w:lineRule="exact"/>
              <w:jc w:val="center"/>
              <w:rPr>
                <w:rFonts w:ascii="Times New Roman" w:hAnsi="Times New Roman" w:eastAsia="仿宋_GB2312"/>
                <w:color w:val="000000"/>
                <w:kern w:val="0"/>
                <w:szCs w:val="21"/>
              </w:rPr>
            </w:pP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ind w:firstLine="840" w:firstLineChars="400"/>
              <w:rPr>
                <w:rFonts w:ascii="Times New Roman" w:hAnsi="Times New Roman" w:eastAsia="仿宋_GB2312"/>
                <w:color w:val="000000"/>
                <w:kern w:val="0"/>
                <w:szCs w:val="21"/>
              </w:rPr>
            </w:pPr>
            <w:r>
              <w:rPr>
                <w:rFonts w:ascii="Times New Roman" w:hAnsi="Times New Roman" w:eastAsia="仿宋_GB2312"/>
                <w:color w:val="000000"/>
                <w:kern w:val="0"/>
                <w:szCs w:val="21"/>
              </w:rPr>
              <w:t>政府性基金拨款：</w:t>
            </w:r>
          </w:p>
        </w:tc>
        <w:tc>
          <w:tcPr>
            <w:tcW w:w="4016"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ind w:firstLine="840" w:firstLineChars="400"/>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项目支出：</w:t>
            </w:r>
          </w:p>
        </w:tc>
      </w:tr>
      <w:tr>
        <w:tblPrEx>
          <w:tblCellMar>
            <w:top w:w="0" w:type="dxa"/>
            <w:left w:w="108" w:type="dxa"/>
            <w:bottom w:w="0" w:type="dxa"/>
            <w:right w:w="108" w:type="dxa"/>
          </w:tblCellMar>
        </w:tblPrEx>
        <w:trPr>
          <w:trHeight w:val="385" w:hRule="atLeast"/>
          <w:jc w:val="center"/>
        </w:trPr>
        <w:tc>
          <w:tcPr>
            <w:tcW w:w="1363" w:type="dxa"/>
            <w:vMerge w:val="continue"/>
            <w:tcBorders>
              <w:left w:val="single" w:color="auto" w:sz="4" w:space="0"/>
              <w:right w:val="single" w:color="auto" w:sz="4" w:space="0"/>
            </w:tcBorders>
            <w:shd w:val="clear" w:color="auto" w:fill="auto"/>
            <w:noWrap/>
            <w:vAlign w:val="center"/>
          </w:tcPr>
          <w:p>
            <w:pPr>
              <w:widowControl/>
              <w:spacing w:line="260" w:lineRule="exact"/>
              <w:jc w:val="center"/>
              <w:rPr>
                <w:rFonts w:ascii="Times New Roman" w:hAnsi="Times New Roman" w:eastAsia="仿宋_GB2312"/>
                <w:color w:val="000000"/>
                <w:kern w:val="0"/>
                <w:szCs w:val="21"/>
              </w:rPr>
            </w:pP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纳入专户管理的非税收入拨款：</w:t>
            </w:r>
          </w:p>
        </w:tc>
        <w:tc>
          <w:tcPr>
            <w:tcW w:w="4016"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Times New Roman" w:hAnsi="Times New Roman" w:eastAsia="仿宋_GB2312"/>
                <w:color w:val="000000"/>
                <w:kern w:val="0"/>
                <w:szCs w:val="21"/>
              </w:rPr>
            </w:pPr>
          </w:p>
        </w:tc>
      </w:tr>
      <w:tr>
        <w:tblPrEx>
          <w:tblCellMar>
            <w:top w:w="0" w:type="dxa"/>
            <w:left w:w="108" w:type="dxa"/>
            <w:bottom w:w="0" w:type="dxa"/>
            <w:right w:w="108" w:type="dxa"/>
          </w:tblCellMar>
        </w:tblPrEx>
        <w:trPr>
          <w:trHeight w:val="375" w:hRule="atLeast"/>
          <w:jc w:val="center"/>
        </w:trPr>
        <w:tc>
          <w:tcPr>
            <w:tcW w:w="1363" w:type="dxa"/>
            <w:vMerge w:val="continue"/>
            <w:tcBorders>
              <w:left w:val="single" w:color="auto" w:sz="4" w:space="0"/>
              <w:bottom w:val="single" w:color="auto" w:sz="4" w:space="0"/>
              <w:right w:val="single" w:color="auto" w:sz="4" w:space="0"/>
            </w:tcBorders>
            <w:shd w:val="clear" w:color="auto" w:fill="auto"/>
            <w:noWrap/>
            <w:vAlign w:val="center"/>
          </w:tcPr>
          <w:p>
            <w:pPr>
              <w:widowControl/>
              <w:spacing w:line="260" w:lineRule="exact"/>
              <w:jc w:val="center"/>
              <w:rPr>
                <w:rFonts w:ascii="Times New Roman" w:hAnsi="Times New Roman" w:eastAsia="仿宋_GB2312"/>
                <w:color w:val="000000"/>
                <w:kern w:val="0"/>
                <w:szCs w:val="21"/>
              </w:rPr>
            </w:pP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ind w:firstLine="1680" w:firstLineChars="8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4016"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ind w:firstLine="1680" w:firstLineChars="800"/>
              <w:jc w:val="left"/>
              <w:rPr>
                <w:rFonts w:ascii="Times New Roman" w:hAnsi="Times New Roman" w:eastAsia="仿宋_GB2312"/>
                <w:color w:val="000000"/>
                <w:kern w:val="0"/>
                <w:szCs w:val="21"/>
              </w:rPr>
            </w:pPr>
          </w:p>
        </w:tc>
      </w:tr>
      <w:tr>
        <w:tblPrEx>
          <w:tblCellMar>
            <w:top w:w="0" w:type="dxa"/>
            <w:left w:w="108" w:type="dxa"/>
            <w:bottom w:w="0" w:type="dxa"/>
            <w:right w:w="108" w:type="dxa"/>
          </w:tblCellMar>
        </w:tblPrEx>
        <w:trPr>
          <w:trHeight w:val="609" w:hRule="atLeast"/>
          <w:jc w:val="center"/>
        </w:trPr>
        <w:tc>
          <w:tcPr>
            <w:tcW w:w="1363"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部门职能职责概述</w:t>
            </w:r>
          </w:p>
        </w:tc>
        <w:tc>
          <w:tcPr>
            <w:tcW w:w="8636" w:type="dxa"/>
            <w:gridSpan w:val="11"/>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承担辖区内国省干线公路和农村公路、桥梁的建设、养护和管理职责。2.负责编制并组织实施辖区内管养公路的发展规划和养护计划。3.负责所管养公路及附属设施的建设、日常养护、改造升级、绿化工作、公路安防工程等。4.协助所管公路、桥梁的路政管理、参与、协助公路沿线户外广告设置管理；协助查处侵占公路用地、破坏公路设施等违法、违规、违章行为，依法维护公路产权等工作。</w:t>
            </w:r>
          </w:p>
        </w:tc>
      </w:tr>
      <w:tr>
        <w:tblPrEx>
          <w:tblCellMar>
            <w:top w:w="0" w:type="dxa"/>
            <w:left w:w="108" w:type="dxa"/>
            <w:bottom w:w="0" w:type="dxa"/>
            <w:right w:w="108" w:type="dxa"/>
          </w:tblCellMar>
        </w:tblPrEx>
        <w:trPr>
          <w:trHeight w:val="609" w:hRule="atLeast"/>
          <w:jc w:val="center"/>
        </w:trPr>
        <w:tc>
          <w:tcPr>
            <w:tcW w:w="1363"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整体绩效</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目标</w:t>
            </w:r>
          </w:p>
        </w:tc>
        <w:tc>
          <w:tcPr>
            <w:tcW w:w="8636" w:type="dxa"/>
            <w:gridSpan w:val="11"/>
            <w:tcBorders>
              <w:top w:val="single" w:color="auto" w:sz="4" w:space="0"/>
              <w:left w:val="nil"/>
              <w:bottom w:val="single" w:color="auto" w:sz="4" w:space="0"/>
              <w:right w:val="single" w:color="auto" w:sz="4" w:space="0"/>
            </w:tcBorders>
            <w:shd w:val="clear" w:color="auto" w:fill="auto"/>
            <w:noWrap/>
            <w:vAlign w:val="center"/>
          </w:tcPr>
          <w:p>
            <w:pPr>
              <w:widowControl/>
              <w:numPr>
                <w:ilvl w:val="0"/>
                <w:numId w:val="0"/>
              </w:numPr>
              <w:tabs>
                <w:tab w:val="left" w:pos="1107"/>
                <w:tab w:val="center" w:pos="4427"/>
              </w:tabs>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val="en-US" w:eastAsia="zh-CN"/>
              </w:rPr>
              <w:t>1.年末全区干线公路优良率90%，农村公路优良率达70%以上。2.全面完成年度大中修及预防性养护任务，工程质量合格率达100%。3.年内创建一条农村公路养护示范性公路。</w:t>
            </w:r>
          </w:p>
        </w:tc>
      </w:tr>
      <w:tr>
        <w:tblPrEx>
          <w:tblCellMar>
            <w:top w:w="0" w:type="dxa"/>
            <w:left w:w="108" w:type="dxa"/>
            <w:bottom w:w="0" w:type="dxa"/>
            <w:right w:w="108" w:type="dxa"/>
          </w:tblCellMar>
        </w:tblPrEx>
        <w:trPr>
          <w:trHeight w:val="763" w:hRule="atLeast"/>
          <w:jc w:val="center"/>
        </w:trPr>
        <w:tc>
          <w:tcPr>
            <w:tcW w:w="1363"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部门整体支出年度绩效指标</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765"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1020"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w:t>
            </w:r>
            <w:r>
              <w:rPr>
                <w:rFonts w:hint="eastAsia" w:ascii="Times New Roman" w:hAnsi="Times New Roman" w:eastAsia="仿宋_GB2312"/>
                <w:color w:val="000000"/>
                <w:kern w:val="0"/>
                <w:szCs w:val="21"/>
              </w:rPr>
              <w:t>50</w:t>
            </w:r>
            <w:r>
              <w:rPr>
                <w:rFonts w:ascii="Times New Roman" w:hAnsi="Times New Roman" w:eastAsia="仿宋_GB2312"/>
                <w:color w:val="000000"/>
                <w:kern w:val="0"/>
                <w:szCs w:val="21"/>
              </w:rPr>
              <w:t>分)</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完成投资国省道大中修</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覆盖率达到</w:t>
            </w:r>
            <w:r>
              <w:rPr>
                <w:rFonts w:hint="eastAsia" w:ascii="Times New Roman" w:hAnsi="Times New Roman" w:eastAsia="仿宋_GB2312"/>
                <w:color w:val="000000"/>
                <w:kern w:val="0"/>
                <w:szCs w:val="21"/>
                <w:lang w:val="en-US" w:eastAsia="zh-CN"/>
              </w:rPr>
              <w:t>100%</w:t>
            </w: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ind w:firstLine="210" w:firstLineChars="100"/>
              <w:jc w:val="left"/>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 xml:space="preserve"> 15</w:t>
            </w:r>
          </w:p>
        </w:tc>
        <w:tc>
          <w:tcPr>
            <w:tcW w:w="765" w:type="dxa"/>
            <w:tcBorders>
              <w:top w:val="single" w:color="auto" w:sz="4" w:space="0"/>
              <w:left w:val="nil"/>
              <w:bottom w:val="single" w:color="auto" w:sz="4" w:space="0"/>
              <w:right w:val="single" w:color="auto" w:sz="4" w:space="0"/>
            </w:tcBorders>
            <w:shd w:val="clear" w:color="auto" w:fill="auto"/>
            <w:noWrap/>
            <w:vAlign w:val="center"/>
          </w:tcPr>
          <w:p>
            <w:pPr>
              <w:widowControl/>
              <w:ind w:firstLine="210" w:firstLineChars="100"/>
              <w:jc w:val="left"/>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15</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1020" w:type="dxa"/>
            <w:vMerge w:val="continue"/>
            <w:tcBorders>
              <w:top w:val="single" w:color="auto" w:sz="4" w:space="0"/>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国省道路使用性能数、工程监督抽检覆盖率</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w:t>
            </w:r>
            <w:r>
              <w:rPr>
                <w:rFonts w:hint="eastAsia" w:ascii="Times New Roman" w:hAnsi="Times New Roman" w:eastAsia="仿宋_GB2312"/>
                <w:color w:val="000000"/>
                <w:kern w:val="0"/>
                <w:szCs w:val="21"/>
                <w:lang w:val="en-US" w:eastAsia="zh-CN"/>
              </w:rPr>
              <w:t>100%</w:t>
            </w: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val="en-US" w:eastAsia="zh-CN"/>
              </w:rPr>
              <w:t>100%</w:t>
            </w: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val="en-US" w:eastAsia="zh-CN"/>
              </w:rPr>
              <w:t>15</w:t>
            </w:r>
          </w:p>
        </w:tc>
        <w:tc>
          <w:tcPr>
            <w:tcW w:w="7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val="en-US" w:eastAsia="zh-CN"/>
              </w:rPr>
              <w:t>15</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1033" w:hRule="atLeast"/>
          <w:jc w:val="center"/>
        </w:trPr>
        <w:tc>
          <w:tcPr>
            <w:tcW w:w="1363"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1020" w:type="dxa"/>
            <w:vMerge w:val="continue"/>
            <w:tcBorders>
              <w:top w:val="single" w:color="auto" w:sz="4" w:space="0"/>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政府下达工程按期完成</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2022年任务按期完成</w:t>
            </w:r>
          </w:p>
          <w:p>
            <w:pPr>
              <w:widowControl/>
              <w:jc w:val="center"/>
              <w:rPr>
                <w:rFonts w:ascii="Times New Roman" w:hAnsi="Times New Roman" w:eastAsia="仿宋_GB2312"/>
                <w:color w:val="000000"/>
                <w:kern w:val="0"/>
                <w:szCs w:val="21"/>
              </w:rPr>
            </w:pP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p>
            <w:pPr>
              <w:widowControl/>
              <w:jc w:val="center"/>
              <w:rPr>
                <w:rFonts w:ascii="Times New Roman" w:hAnsi="Times New Roman" w:eastAsia="仿宋_GB2312"/>
                <w:color w:val="000000"/>
                <w:kern w:val="0"/>
                <w:szCs w:val="21"/>
              </w:rPr>
            </w:pP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olor w:val="000000"/>
                <w:kern w:val="0"/>
                <w:szCs w:val="21"/>
              </w:rPr>
            </w:pPr>
          </w:p>
        </w:tc>
        <w:tc>
          <w:tcPr>
            <w:tcW w:w="7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olor w:val="000000"/>
                <w:kern w:val="0"/>
                <w:szCs w:val="21"/>
              </w:rPr>
            </w:pP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2509" w:hRule="atLeast"/>
          <w:jc w:val="center"/>
        </w:trPr>
        <w:tc>
          <w:tcPr>
            <w:tcW w:w="1363"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1020" w:type="dxa"/>
            <w:vMerge w:val="continue"/>
            <w:tcBorders>
              <w:top w:val="single" w:color="auto" w:sz="4" w:space="0"/>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国省道大中修补助标准、农村公路改善提升工程补助标准</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不超过下达的预期成本</w:t>
            </w:r>
          </w:p>
          <w:p>
            <w:pPr>
              <w:widowControl/>
              <w:jc w:val="center"/>
              <w:rPr>
                <w:rFonts w:ascii="Times New Roman" w:hAnsi="Times New Roman" w:eastAsia="仿宋_GB2312"/>
                <w:color w:val="000000"/>
                <w:kern w:val="0"/>
                <w:szCs w:val="21"/>
              </w:rPr>
            </w:pP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eastAsia="zh-CN"/>
              </w:rPr>
              <w:t>没有超过预期成本</w:t>
            </w:r>
          </w:p>
          <w:p>
            <w:pPr>
              <w:widowControl/>
              <w:jc w:val="center"/>
              <w:rPr>
                <w:rFonts w:ascii="Times New Roman" w:hAnsi="Times New Roman" w:eastAsia="仿宋_GB2312"/>
                <w:color w:val="000000"/>
                <w:kern w:val="0"/>
                <w:szCs w:val="21"/>
              </w:rPr>
            </w:pP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val="en-US" w:eastAsia="zh-CN"/>
              </w:rPr>
              <w:t>10</w:t>
            </w:r>
          </w:p>
        </w:tc>
        <w:tc>
          <w:tcPr>
            <w:tcW w:w="7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1020" w:type="dxa"/>
            <w:vMerge w:val="restart"/>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pPr>
              <w:widowControl/>
              <w:rPr>
                <w:rFonts w:ascii="Times New Roman" w:hAnsi="Times New Roman" w:eastAsia="仿宋_GB2312"/>
                <w:color w:val="000000"/>
                <w:kern w:val="0"/>
                <w:szCs w:val="21"/>
              </w:rPr>
            </w:pPr>
            <w:r>
              <w:rPr>
                <w:rFonts w:ascii="Times New Roman" w:hAnsi="Times New Roman" w:eastAsia="仿宋_GB2312"/>
                <w:color w:val="000000"/>
                <w:kern w:val="0"/>
                <w:szCs w:val="21"/>
              </w:rPr>
              <w:t>（</w:t>
            </w:r>
            <w:r>
              <w:rPr>
                <w:rFonts w:hint="eastAsia" w:ascii="Times New Roman" w:hAnsi="Times New Roman" w:eastAsia="仿宋_GB2312"/>
                <w:color w:val="000000"/>
                <w:kern w:val="0"/>
                <w:szCs w:val="21"/>
              </w:rPr>
              <w:t>40</w:t>
            </w:r>
            <w:r>
              <w:rPr>
                <w:rFonts w:ascii="Times New Roman" w:hAnsi="Times New Roman" w:eastAsia="仿宋_GB2312"/>
                <w:color w:val="000000"/>
                <w:kern w:val="0"/>
                <w:szCs w:val="21"/>
              </w:rPr>
              <w:t>分）</w:t>
            </w:r>
          </w:p>
          <w:p>
            <w:pPr>
              <w:jc w:val="left"/>
              <w:rPr>
                <w:rFonts w:ascii="Times New Roman" w:hAnsi="Times New Roman" w:eastAsia="仿宋_GB2312"/>
                <w:color w:val="000000"/>
                <w:kern w:val="0"/>
                <w:szCs w:val="21"/>
              </w:rPr>
            </w:pPr>
          </w:p>
          <w:p>
            <w:pPr>
              <w:widowControl/>
              <w:rPr>
                <w:rFonts w:ascii="Times New Roman" w:hAnsi="Times New Roman" w:eastAsia="仿宋_GB2312"/>
                <w:color w:val="000000"/>
                <w:kern w:val="0"/>
                <w:szCs w:val="21"/>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提供就业岗位；增加群众收入</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有效促进</w:t>
            </w: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p>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有效执行</w:t>
            </w:r>
          </w:p>
          <w:p>
            <w:pPr>
              <w:widowControl/>
              <w:jc w:val="center"/>
              <w:rPr>
                <w:rFonts w:ascii="Times New Roman" w:hAnsi="Times New Roman" w:eastAsia="仿宋_GB2312"/>
                <w:color w:val="000000"/>
                <w:kern w:val="0"/>
                <w:szCs w:val="21"/>
              </w:rPr>
            </w:pP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olor w:val="000000"/>
                <w:kern w:val="0"/>
                <w:szCs w:val="21"/>
              </w:rPr>
            </w:pPr>
          </w:p>
        </w:tc>
        <w:tc>
          <w:tcPr>
            <w:tcW w:w="7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olor w:val="000000"/>
                <w:kern w:val="0"/>
                <w:szCs w:val="21"/>
              </w:rPr>
            </w:pP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1020" w:type="dxa"/>
            <w:vMerge w:val="continue"/>
            <w:tcBorders>
              <w:left w:val="nil"/>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交通基础设施网络</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构建外畅内联、结构合理、安全高效公路网</w:t>
            </w: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有效促进</w:t>
            </w:r>
          </w:p>
          <w:p>
            <w:pPr>
              <w:widowControl/>
              <w:jc w:val="center"/>
              <w:rPr>
                <w:rFonts w:ascii="Times New Roman" w:hAnsi="Times New Roman" w:eastAsia="仿宋_GB2312"/>
                <w:color w:val="000000"/>
                <w:kern w:val="0"/>
                <w:szCs w:val="21"/>
              </w:rPr>
            </w:pP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ind w:firstLine="420" w:firstLineChars="200"/>
              <w:jc w:val="both"/>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val="en-US" w:eastAsia="zh-CN"/>
              </w:rPr>
              <w:t>10</w:t>
            </w:r>
          </w:p>
        </w:tc>
        <w:tc>
          <w:tcPr>
            <w:tcW w:w="7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default" w:ascii="Times New Roman" w:hAnsi="Times New Roman" w:eastAsia="仿宋_GB2312"/>
                <w:color w:val="000000"/>
                <w:kern w:val="0"/>
                <w:szCs w:val="21"/>
                <w:lang w:val="en-US"/>
              </w:rPr>
            </w:pPr>
            <w:r>
              <w:rPr>
                <w:rFonts w:hint="eastAsia" w:ascii="Times New Roman" w:hAnsi="Times New Roman" w:eastAsia="仿宋_GB2312"/>
                <w:color w:val="000000"/>
                <w:kern w:val="0"/>
                <w:szCs w:val="21"/>
                <w:lang w:val="en-US" w:eastAsia="zh-CN"/>
              </w:rPr>
              <w:t>10</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1020" w:type="dxa"/>
            <w:vMerge w:val="continue"/>
            <w:tcBorders>
              <w:left w:val="nil"/>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绿色交通</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建设资源节约、生态环保、节能高效</w:t>
            </w:r>
          </w:p>
        </w:tc>
        <w:tc>
          <w:tcPr>
            <w:tcW w:w="106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有效执行</w:t>
            </w:r>
          </w:p>
        </w:tc>
        <w:tc>
          <w:tcPr>
            <w:tcW w:w="117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olor w:val="000000"/>
                <w:kern w:val="0"/>
                <w:szCs w:val="21"/>
              </w:rPr>
            </w:pPr>
          </w:p>
        </w:tc>
        <w:tc>
          <w:tcPr>
            <w:tcW w:w="7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rPr>
            </w:pPr>
            <w:r>
              <w:rPr>
                <w:rFonts w:hint="eastAsia" w:ascii="Times New Roman" w:hAnsi="Times New Roman" w:eastAsia="仿宋_GB2312"/>
                <w:color w:val="000000"/>
                <w:kern w:val="0"/>
                <w:szCs w:val="21"/>
                <w:lang w:val="en-US" w:eastAsia="zh-CN"/>
              </w:rPr>
              <w:t>10</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tc>
        <w:tc>
          <w:tcPr>
            <w:tcW w:w="1020" w:type="dxa"/>
            <w:vMerge w:val="continue"/>
            <w:tcBorders>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1110" w:type="dxa"/>
            <w:tcBorders>
              <w:top w:val="single" w:color="auto" w:sz="4" w:space="0"/>
              <w:left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长期对公路养护</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长期对管辖内公路巡查</w:t>
            </w:r>
          </w:p>
        </w:tc>
        <w:tc>
          <w:tcPr>
            <w:tcW w:w="106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长期执行</w:t>
            </w:r>
          </w:p>
          <w:p>
            <w:pPr>
              <w:widowControl/>
              <w:jc w:val="center"/>
              <w:rPr>
                <w:rFonts w:ascii="Times New Roman" w:hAnsi="Times New Roman" w:eastAsia="仿宋_GB2312"/>
                <w:color w:val="000000"/>
                <w:kern w:val="0"/>
                <w:szCs w:val="21"/>
              </w:rPr>
            </w:pPr>
          </w:p>
        </w:tc>
        <w:tc>
          <w:tcPr>
            <w:tcW w:w="117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5</w:t>
            </w:r>
          </w:p>
          <w:p>
            <w:pPr>
              <w:widowControl/>
              <w:jc w:val="center"/>
              <w:rPr>
                <w:rFonts w:ascii="Times New Roman" w:hAnsi="Times New Roman" w:eastAsia="仿宋_GB2312"/>
                <w:color w:val="000000"/>
                <w:kern w:val="0"/>
                <w:szCs w:val="21"/>
              </w:rPr>
            </w:pPr>
          </w:p>
        </w:tc>
        <w:tc>
          <w:tcPr>
            <w:tcW w:w="7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5</w:t>
            </w:r>
          </w:p>
          <w:p>
            <w:pPr>
              <w:widowControl/>
              <w:jc w:val="center"/>
              <w:rPr>
                <w:rFonts w:ascii="Times New Roman" w:hAnsi="Times New Roman" w:eastAsia="仿宋_GB2312"/>
                <w:color w:val="000000"/>
                <w:kern w:val="0"/>
                <w:szCs w:val="21"/>
              </w:rPr>
            </w:pPr>
          </w:p>
        </w:tc>
        <w:tc>
          <w:tcPr>
            <w:tcW w:w="12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020" w:type="dxa"/>
            <w:vMerge w:val="continue"/>
            <w:tcBorders>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tc>
        <w:tc>
          <w:tcPr>
            <w:tcW w:w="1110" w:type="dxa"/>
            <w:tcBorders>
              <w:top w:val="nil"/>
              <w:left w:val="nil"/>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社会公众或服务对象满意度</w:t>
            </w:r>
          </w:p>
        </w:tc>
        <w:tc>
          <w:tcPr>
            <w:tcW w:w="112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公众满意度</w:t>
            </w:r>
          </w:p>
        </w:tc>
        <w:tc>
          <w:tcPr>
            <w:tcW w:w="111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w:t>
            </w:r>
            <w:r>
              <w:rPr>
                <w:rFonts w:hint="eastAsia" w:ascii="Times New Roman" w:hAnsi="Times New Roman" w:eastAsia="仿宋_GB2312"/>
                <w:color w:val="000000"/>
                <w:kern w:val="0"/>
                <w:szCs w:val="21"/>
                <w:lang w:val="en-US" w:eastAsia="zh-CN"/>
              </w:rPr>
              <w:t>95%</w:t>
            </w:r>
          </w:p>
        </w:tc>
        <w:tc>
          <w:tcPr>
            <w:tcW w:w="1065"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default" w:ascii="Times New Roman" w:hAnsi="Times New Roman" w:eastAsia="仿宋_GB2312"/>
                <w:color w:val="000000"/>
                <w:kern w:val="0"/>
                <w:szCs w:val="21"/>
                <w:lang w:val="en-US" w:eastAsia="zh-CN"/>
              </w:rPr>
            </w:pPr>
          </w:p>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w:t>
            </w:r>
            <w:r>
              <w:rPr>
                <w:rFonts w:hint="eastAsia" w:ascii="Times New Roman" w:hAnsi="Times New Roman" w:eastAsia="仿宋_GB2312"/>
                <w:color w:val="000000"/>
                <w:kern w:val="0"/>
                <w:szCs w:val="21"/>
                <w:lang w:val="en-US" w:eastAsia="zh-CN"/>
              </w:rPr>
              <w:t>95%</w:t>
            </w:r>
          </w:p>
        </w:tc>
        <w:tc>
          <w:tcPr>
            <w:tcW w:w="1170" w:type="dxa"/>
            <w:gridSpan w:val="2"/>
            <w:tcBorders>
              <w:top w:val="nil"/>
              <w:left w:val="nil"/>
              <w:bottom w:val="single" w:color="auto" w:sz="4" w:space="0"/>
              <w:right w:val="single" w:color="auto" w:sz="4" w:space="0"/>
            </w:tcBorders>
            <w:shd w:val="clear" w:color="auto" w:fill="auto"/>
            <w:noWrap/>
            <w:vAlign w:val="center"/>
          </w:tcPr>
          <w:p>
            <w:pPr>
              <w:widowControl/>
              <w:ind w:firstLine="420" w:firstLineChars="200"/>
              <w:jc w:val="both"/>
              <w:rPr>
                <w:rFonts w:hint="eastAsia" w:ascii="Times New Roman" w:hAnsi="Times New Roman" w:eastAsia="仿宋_GB2312"/>
                <w:color w:val="000000"/>
                <w:kern w:val="0"/>
                <w:szCs w:val="21"/>
                <w:lang w:val="en-US" w:eastAsia="zh-CN"/>
              </w:rPr>
            </w:pPr>
          </w:p>
          <w:p>
            <w:pPr>
              <w:widowControl/>
              <w:ind w:firstLine="420" w:firstLineChars="200"/>
              <w:jc w:val="both"/>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val="en-US" w:eastAsia="zh-CN"/>
              </w:rPr>
              <w:t>5</w:t>
            </w:r>
          </w:p>
        </w:tc>
        <w:tc>
          <w:tcPr>
            <w:tcW w:w="76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eastAsia" w:ascii="Times New Roman" w:hAnsi="Times New Roman" w:eastAsia="仿宋_GB2312"/>
                <w:color w:val="000000"/>
                <w:kern w:val="0"/>
                <w:szCs w:val="21"/>
                <w:lang w:val="en-US" w:eastAsia="zh-CN"/>
              </w:rPr>
            </w:pPr>
          </w:p>
          <w:p>
            <w:pPr>
              <w:widowControl/>
              <w:jc w:val="center"/>
              <w:rPr>
                <w:rFonts w:hint="eastAsia"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5</w:t>
            </w:r>
          </w:p>
          <w:p>
            <w:pPr>
              <w:widowControl/>
              <w:jc w:val="center"/>
              <w:rPr>
                <w:rFonts w:ascii="Times New Roman" w:hAnsi="Times New Roman" w:eastAsia="仿宋_GB2312"/>
                <w:color w:val="000000"/>
                <w:kern w:val="0"/>
                <w:szCs w:val="21"/>
              </w:rPr>
            </w:pPr>
          </w:p>
        </w:tc>
        <w:tc>
          <w:tcPr>
            <w:tcW w:w="12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793"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xml:space="preserve">                          总分</w:t>
            </w:r>
          </w:p>
        </w:tc>
        <w:tc>
          <w:tcPr>
            <w:tcW w:w="117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210" w:firstLineChars="1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7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tc>
        <w:tc>
          <w:tcPr>
            <w:tcW w:w="12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r>
    </w:tbl>
    <w:p>
      <w:pPr>
        <w:rPr>
          <w:rFonts w:ascii="Times New Roman" w:hAnsi="Times New Roman" w:eastAsia="仿宋_GB2312"/>
          <w:sz w:val="24"/>
        </w:rPr>
      </w:pPr>
    </w:p>
    <w:p>
      <w:pPr>
        <w:rPr>
          <w:rFonts w:hint="eastAsia" w:ascii="Times New Roman" w:hAnsi="Times New Roman" w:eastAsia="仿宋_GB2312" w:cs="Times New Roman"/>
          <w:sz w:val="24"/>
          <w:lang w:val="en-US" w:eastAsia="zh-CN"/>
        </w:rPr>
      </w:pPr>
      <w:r>
        <w:rPr>
          <w:rFonts w:ascii="Times New Roman" w:hAnsi="Times New Roman" w:eastAsia="仿宋_GB2312"/>
          <w:sz w:val="24"/>
        </w:rPr>
        <w:t>填表人：</w:t>
      </w:r>
      <w:r>
        <w:rPr>
          <w:rFonts w:hint="eastAsia" w:ascii="Times New Roman" w:hAnsi="Times New Roman" w:eastAsia="仿宋_GB2312"/>
          <w:sz w:val="24"/>
          <w:lang w:eastAsia="zh-CN"/>
        </w:rPr>
        <w:t>谢慧子</w:t>
      </w:r>
      <w:r>
        <w:rPr>
          <w:rFonts w:ascii="Times New Roman" w:hAnsi="Times New Roman" w:eastAsia="仿宋_GB2312"/>
          <w:sz w:val="24"/>
        </w:rPr>
        <w:t xml:space="preserve">       </w:t>
      </w:r>
      <w:r>
        <w:rPr>
          <w:rFonts w:hint="eastAsia" w:ascii="Times New Roman" w:hAnsi="Times New Roman" w:eastAsia="仿宋_GB2312"/>
          <w:sz w:val="24"/>
          <w:lang w:val="en-US" w:eastAsia="zh-CN"/>
        </w:rPr>
        <w:t xml:space="preserve"> </w:t>
      </w:r>
      <w:r>
        <w:rPr>
          <w:rFonts w:ascii="Times New Roman" w:hAnsi="Times New Roman" w:eastAsia="仿宋_GB2312"/>
          <w:sz w:val="24"/>
        </w:rPr>
        <w:t>填报日期：</w:t>
      </w:r>
      <w:r>
        <w:rPr>
          <w:rFonts w:hint="eastAsia" w:ascii="Times New Roman" w:hAnsi="Times New Roman" w:eastAsia="仿宋_GB2312"/>
          <w:sz w:val="24"/>
          <w:lang w:val="en-US" w:eastAsia="zh-CN"/>
        </w:rPr>
        <w:t xml:space="preserve">2023.03.31     </w:t>
      </w:r>
      <w:r>
        <w:rPr>
          <w:rFonts w:ascii="Times New Roman" w:hAnsi="Times New Roman" w:eastAsia="仿宋_GB2312"/>
          <w:sz w:val="24"/>
        </w:rPr>
        <w:t xml:space="preserve">   联系电话：</w:t>
      </w:r>
      <w:r>
        <w:rPr>
          <w:rFonts w:hint="eastAsia" w:ascii="Times New Roman" w:hAnsi="Times New Roman" w:eastAsia="仿宋_GB2312" w:cs="Times New Roman"/>
          <w:sz w:val="24"/>
          <w:lang w:val="en-US" w:eastAsia="zh-CN"/>
        </w:rPr>
        <w:t>17507479664</w:t>
      </w:r>
    </w:p>
    <w:p>
      <w:pPr>
        <w:spacing w:beforeLines="50"/>
        <w:rPr>
          <w:rFonts w:hint="eastAsia" w:ascii="Times New Roman" w:hAnsi="Times New Roman" w:eastAsia="仿宋_GB2312"/>
          <w:sz w:val="32"/>
          <w:szCs w:val="32"/>
          <w:lang w:eastAsia="zh-CN"/>
        </w:rPr>
      </w:pPr>
      <w:r>
        <w:rPr>
          <w:rFonts w:ascii="Times New Roman" w:hAnsi="Times New Roman" w:eastAsia="仿宋_GB2312"/>
          <w:sz w:val="24"/>
        </w:rPr>
        <w:t>单位负责人签字：</w:t>
      </w:r>
      <w:r>
        <w:rPr>
          <w:rFonts w:hint="eastAsia" w:ascii="Times New Roman" w:hAnsi="Times New Roman" w:eastAsia="仿宋_GB2312"/>
          <w:sz w:val="24"/>
          <w:lang w:eastAsia="zh-CN"/>
        </w:rPr>
        <w:t>陈述</w:t>
      </w: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rPr>
      </w:pPr>
      <w:r>
        <w:rPr>
          <w:rFonts w:ascii="Times New Roman" w:hAnsi="Times New Roman" w:eastAsia="黑体"/>
          <w:sz w:val="32"/>
          <w:szCs w:val="32"/>
        </w:rPr>
        <w:t>附件4</w:t>
      </w:r>
    </w:p>
    <w:tbl>
      <w:tblPr>
        <w:tblStyle w:val="7"/>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trPr>
          <w:trHeight w:val="690" w:hRule="atLeast"/>
          <w:jc w:val="center"/>
        </w:trPr>
        <w:tc>
          <w:tcPr>
            <w:tcW w:w="9999" w:type="dxa"/>
            <w:gridSpan w:val="9"/>
            <w:tcBorders>
              <w:top w:val="nil"/>
              <w:left w:val="nil"/>
              <w:bottom w:val="nil"/>
              <w:right w:val="nil"/>
            </w:tcBorders>
            <w:shd w:val="clear" w:color="auto" w:fill="auto"/>
            <w:noWrap/>
            <w:vAlign w:val="center"/>
          </w:tcPr>
          <w:p>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pPr>
              <w:widowControl/>
              <w:jc w:val="both"/>
              <w:rPr>
                <w:rFonts w:ascii="Times New Roman" w:hAnsi="Times New Roman"/>
                <w:color w:val="000000"/>
                <w:kern w:val="0"/>
                <w:sz w:val="22"/>
              </w:rPr>
            </w:pPr>
            <w:r>
              <w:rPr>
                <w:rFonts w:ascii="Times New Roman" w:hAnsi="Times New Roman"/>
                <w:color w:val="000000"/>
                <w:kern w:val="0"/>
                <w:sz w:val="22"/>
              </w:rPr>
              <w:t xml:space="preserve"> 填报单位： （盖章）</w:t>
            </w:r>
            <w:r>
              <w:rPr>
                <w:rFonts w:hint="eastAsia" w:ascii="Times New Roman" w:hAnsi="Times New Roman"/>
                <w:color w:val="000000"/>
                <w:kern w:val="0"/>
                <w:sz w:val="22"/>
                <w:lang w:val="en-US" w:eastAsia="zh-CN"/>
              </w:rPr>
              <w:t xml:space="preserve">                </w:t>
            </w:r>
            <w:r>
              <w:rPr>
                <w:rFonts w:ascii="Times New Roman" w:hAnsi="Times New Roman"/>
                <w:color w:val="000000"/>
                <w:kern w:val="0"/>
                <w:sz w:val="22"/>
              </w:rPr>
              <w:t>（</w:t>
            </w:r>
            <w:r>
              <w:rPr>
                <w:rFonts w:hint="eastAsia" w:ascii="Times New Roman" w:hAnsi="Times New Roman"/>
                <w:color w:val="000000"/>
                <w:kern w:val="0"/>
                <w:sz w:val="22"/>
                <w:lang w:val="en-US" w:eastAsia="zh-CN"/>
              </w:rPr>
              <w:t>2022</w:t>
            </w:r>
            <w:r>
              <w:rPr>
                <w:rFonts w:ascii="Times New Roman" w:hAnsi="Times New Roman"/>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公路养护</w:t>
            </w: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olor w:val="000000"/>
                <w:kern w:val="0"/>
                <w:szCs w:val="21"/>
                <w:lang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衡阳市公路建设养护中心</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衡阳市公路建设养护中心</w:t>
            </w:r>
          </w:p>
          <w:p>
            <w:pPr>
              <w:widowControl/>
              <w:ind w:firstLine="630" w:firstLineChars="300"/>
              <w:jc w:val="left"/>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雁峰分中心</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ascii="Times New Roman" w:hAnsi="Times New Roman" w:eastAsia="仿宋_GB2312"/>
                <w:color w:val="000000"/>
                <w:kern w:val="0"/>
                <w:szCs w:val="21"/>
              </w:rPr>
              <w:t>项目资金</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230" w:type="dxa"/>
            <w:tcBorders>
              <w:top w:val="nil"/>
              <w:left w:val="nil"/>
              <w:bottom w:val="single" w:color="auto" w:sz="4" w:space="0"/>
              <w:right w:val="single" w:color="auto" w:sz="4" w:space="0"/>
            </w:tcBorders>
            <w:shd w:val="clear" w:color="auto" w:fill="auto"/>
            <w:noWrap/>
            <w:vAlign w:val="center"/>
          </w:tcPr>
          <w:p>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107" w:type="dxa"/>
            <w:tcBorders>
              <w:top w:val="nil"/>
              <w:left w:val="nil"/>
              <w:bottom w:val="single" w:color="auto" w:sz="4" w:space="0"/>
              <w:right w:val="single" w:color="auto" w:sz="4" w:space="0"/>
            </w:tcBorders>
            <w:shd w:val="clear" w:color="auto" w:fill="auto"/>
            <w:noWrap/>
          </w:tcPr>
          <w:p>
            <w:pPr>
              <w:spacing w:line="240" w:lineRule="exact"/>
              <w:jc w:val="center"/>
              <w:rPr>
                <w:rFonts w:ascii="Times New Roman" w:hAnsi="Times New Roman" w:eastAsia="仿宋_GB2312"/>
                <w:szCs w:val="21"/>
              </w:rPr>
            </w:pPr>
            <w:r>
              <w:rPr>
                <w:rFonts w:ascii="Times New Roman" w:hAnsi="Times New Roman" w:eastAsia="仿宋_GB2312"/>
                <w:szCs w:val="21"/>
              </w:rPr>
              <w:t>全年</w:t>
            </w:r>
          </w:p>
          <w:p>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pPr>
              <w:spacing w:line="240" w:lineRule="exact"/>
              <w:jc w:val="center"/>
              <w:rPr>
                <w:rFonts w:ascii="Times New Roman" w:hAnsi="Times New Roman" w:eastAsia="仿宋_GB2312"/>
                <w:szCs w:val="21"/>
              </w:rPr>
            </w:pPr>
          </w:p>
          <w:p>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pPr>
              <w:spacing w:line="240" w:lineRule="exact"/>
              <w:jc w:val="center"/>
              <w:rPr>
                <w:rFonts w:ascii="Times New Roman" w:hAnsi="Times New Roman" w:eastAsia="仿宋_GB2312"/>
                <w:szCs w:val="21"/>
              </w:rPr>
            </w:pPr>
          </w:p>
          <w:p>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pPr>
              <w:spacing w:line="240" w:lineRule="exact"/>
              <w:jc w:val="center"/>
              <w:rPr>
                <w:rFonts w:ascii="Times New Roman" w:hAnsi="Times New Roman" w:eastAsia="仿宋_GB2312"/>
                <w:szCs w:val="21"/>
              </w:rPr>
            </w:pPr>
          </w:p>
          <w:p>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260.95</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260.95</w:t>
            </w:r>
          </w:p>
        </w:tc>
        <w:tc>
          <w:tcPr>
            <w:tcW w:w="9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10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119.76</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119.76</w:t>
            </w:r>
          </w:p>
        </w:tc>
        <w:tc>
          <w:tcPr>
            <w:tcW w:w="9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141.19</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141.19</w:t>
            </w:r>
          </w:p>
        </w:tc>
        <w:tc>
          <w:tcPr>
            <w:tcW w:w="9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trPr>
          <w:trHeight w:val="610"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干线公路的日常养护</w:t>
            </w:r>
          </w:p>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辖区桥梁的巡查</w:t>
            </w:r>
          </w:p>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公路生命防护工程的监管</w:t>
            </w:r>
            <w:r>
              <w:rPr>
                <w:rFonts w:ascii="Times New Roman" w:hAnsi="Times New Roman" w:eastAsia="仿宋_GB2312"/>
                <w:color w:val="000000"/>
                <w:kern w:val="0"/>
                <w:szCs w:val="21"/>
              </w:rPr>
              <w:t>　　</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完成干线公路的日常养护</w:t>
            </w:r>
          </w:p>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辖区桥梁的巡查</w:t>
            </w:r>
          </w:p>
          <w:p>
            <w:pPr>
              <w:widowControl/>
              <w:ind w:firstLine="840" w:firstLineChars="400"/>
              <w:jc w:val="left"/>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公路生命防护工程的监管</w:t>
            </w:r>
          </w:p>
        </w:tc>
      </w:tr>
      <w:tr>
        <w:tblPrEx>
          <w:tblCellMar>
            <w:top w:w="0" w:type="dxa"/>
            <w:left w:w="108" w:type="dxa"/>
            <w:bottom w:w="0" w:type="dxa"/>
            <w:right w:w="108" w:type="dxa"/>
          </w:tblCellMar>
        </w:tblPrEx>
        <w:trPr>
          <w:trHeight w:val="68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tblPrEx>
          <w:tblCellMar>
            <w:top w:w="0" w:type="dxa"/>
            <w:left w:w="108" w:type="dxa"/>
            <w:bottom w:w="0" w:type="dxa"/>
            <w:right w:w="108" w:type="dxa"/>
          </w:tblCellMar>
        </w:tblPrEx>
        <w:trPr>
          <w:trHeight w:val="1336"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pPr>
              <w:widowControl/>
              <w:jc w:val="center"/>
              <w:rPr>
                <w:rFonts w:ascii="Times New Roman" w:hAnsi="Times New Roman" w:eastAsia="仿宋_GB2312"/>
                <w:color w:val="000000"/>
                <w:kern w:val="0"/>
                <w:szCs w:val="21"/>
              </w:rPr>
            </w:pP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vMerge w:val="restart"/>
            <w:tcBorders>
              <w:top w:val="single" w:color="auto" w:sz="4" w:space="0"/>
              <w:left w:val="nil"/>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完成投资公路大中修覆盖率</w:t>
            </w:r>
          </w:p>
        </w:tc>
        <w:tc>
          <w:tcPr>
            <w:tcW w:w="1230" w:type="dxa"/>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覆盖率达到</w:t>
            </w:r>
            <w:r>
              <w:rPr>
                <w:rFonts w:hint="eastAsia" w:ascii="Times New Roman" w:hAnsi="Times New Roman" w:eastAsia="仿宋_GB2312"/>
                <w:color w:val="000000"/>
                <w:kern w:val="0"/>
                <w:szCs w:val="21"/>
                <w:lang w:val="en-US" w:eastAsia="zh-CN"/>
              </w:rPr>
              <w:t>100%</w:t>
            </w:r>
          </w:p>
        </w:tc>
        <w:tc>
          <w:tcPr>
            <w:tcW w:w="1107"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15</w:t>
            </w:r>
          </w:p>
        </w:tc>
        <w:tc>
          <w:tcPr>
            <w:tcW w:w="855" w:type="dxa"/>
            <w:tcBorders>
              <w:top w:val="single" w:color="auto" w:sz="4" w:space="0"/>
              <w:left w:val="nil"/>
              <w:right w:val="single" w:color="auto" w:sz="4" w:space="0"/>
            </w:tcBorders>
            <w:shd w:val="clear" w:color="auto" w:fill="auto"/>
            <w:noWrap/>
            <w:vAlign w:val="center"/>
          </w:tcPr>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s="Times New Roman"/>
                <w:color w:val="000000"/>
                <w:kern w:val="0"/>
                <w:sz w:val="21"/>
                <w:szCs w:val="21"/>
                <w:lang w:val="en-US" w:eastAsia="zh-CN" w:bidi="ar-SA"/>
              </w:rPr>
              <w:t>15</w:t>
            </w:r>
          </w:p>
        </w:tc>
        <w:tc>
          <w:tcPr>
            <w:tcW w:w="1271"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1285"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vMerge w:val="restart"/>
            <w:tcBorders>
              <w:top w:val="single" w:color="auto" w:sz="4" w:space="0"/>
              <w:left w:val="nil"/>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国省道路使用性能数、工程监督抽检覆盖率</w:t>
            </w:r>
          </w:p>
        </w:tc>
        <w:tc>
          <w:tcPr>
            <w:tcW w:w="1230" w:type="dxa"/>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rPr>
              <w:t>≧</w:t>
            </w:r>
            <w:r>
              <w:rPr>
                <w:rFonts w:hint="eastAsia" w:ascii="Times New Roman" w:hAnsi="Times New Roman" w:eastAsia="仿宋_GB2312"/>
                <w:color w:val="000000"/>
                <w:kern w:val="0"/>
                <w:szCs w:val="21"/>
                <w:lang w:val="en-US" w:eastAsia="zh-CN"/>
              </w:rPr>
              <w:t>100%</w:t>
            </w:r>
          </w:p>
        </w:tc>
        <w:tc>
          <w:tcPr>
            <w:tcW w:w="1107"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15</w:t>
            </w:r>
          </w:p>
        </w:tc>
        <w:tc>
          <w:tcPr>
            <w:tcW w:w="855" w:type="dxa"/>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15</w:t>
            </w:r>
          </w:p>
        </w:tc>
        <w:tc>
          <w:tcPr>
            <w:tcW w:w="1271"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1663"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政府下达工程按期完成</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2022年任务按期完成</w:t>
            </w:r>
          </w:p>
          <w:p>
            <w:pPr>
              <w:widowControl/>
              <w:jc w:val="center"/>
              <w:rPr>
                <w:rFonts w:ascii="Times New Roman" w:hAnsi="Times New Roman" w:eastAsia="仿宋_GB2312" w:cs="Times New Roman"/>
                <w:color w:val="000000"/>
                <w:kern w:val="0"/>
                <w:sz w:val="21"/>
                <w:szCs w:val="21"/>
                <w:lang w:val="en-US" w:eastAsia="zh-CN" w:bidi="ar-SA"/>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2449"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国省道大中修补助标准、农村公路改善提升工程补助标准</w:t>
            </w:r>
          </w:p>
        </w:tc>
        <w:tc>
          <w:tcPr>
            <w:tcW w:w="1230"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不超过下达的预期成本</w:t>
            </w:r>
          </w:p>
          <w:p>
            <w:pPr>
              <w:widowControl/>
              <w:jc w:val="center"/>
              <w:rPr>
                <w:rFonts w:ascii="Times New Roman" w:hAnsi="Times New Roman" w:eastAsia="仿宋_GB2312" w:cs="Times New Roman"/>
                <w:color w:val="000000"/>
                <w:kern w:val="0"/>
                <w:sz w:val="21"/>
                <w:szCs w:val="21"/>
                <w:lang w:val="en-US" w:eastAsia="zh-CN" w:bidi="ar-SA"/>
              </w:rPr>
            </w:pPr>
          </w:p>
        </w:tc>
        <w:tc>
          <w:tcPr>
            <w:tcW w:w="1107"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eastAsia="zh-CN"/>
              </w:rPr>
              <w:t>没有超过预期成本</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489"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pPr>
              <w:widowControl/>
              <w:jc w:val="left"/>
              <w:rPr>
                <w:rFonts w:ascii="Times New Roman" w:hAnsi="Times New Roman" w:eastAsia="仿宋_GB2312"/>
                <w:color w:val="000000"/>
                <w:kern w:val="0"/>
                <w:szCs w:val="21"/>
              </w:rPr>
            </w:pP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vMerge w:val="restart"/>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提供就业岗位；增加群众收入</w:t>
            </w:r>
          </w:p>
        </w:tc>
        <w:tc>
          <w:tcPr>
            <w:tcW w:w="1230" w:type="dxa"/>
            <w:vMerge w:val="restart"/>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有效促进</w:t>
            </w:r>
          </w:p>
        </w:tc>
        <w:tc>
          <w:tcPr>
            <w:tcW w:w="1107"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p>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有效执行</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855"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1271"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800"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vMerge w:val="restart"/>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交通基础设施网络</w:t>
            </w:r>
          </w:p>
        </w:tc>
        <w:tc>
          <w:tcPr>
            <w:tcW w:w="1230" w:type="dxa"/>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构建外畅内联、结构合理、安全高效公路网</w:t>
            </w:r>
          </w:p>
        </w:tc>
        <w:tc>
          <w:tcPr>
            <w:tcW w:w="1107"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有效促进</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nil"/>
              <w:right w:val="single" w:color="auto" w:sz="4" w:space="0"/>
            </w:tcBorders>
            <w:shd w:val="clear" w:color="auto" w:fill="auto"/>
            <w:noWrap/>
            <w:vAlign w:val="center"/>
          </w:tcPr>
          <w:p>
            <w:pPr>
              <w:widowControl/>
              <w:ind w:firstLine="420" w:firstLineChars="200"/>
              <w:jc w:val="center"/>
              <w:rPr>
                <w:rFonts w:hint="eastAsia" w:ascii="Times New Roman" w:hAnsi="Times New Roman" w:eastAsia="仿宋_GB2312"/>
                <w:color w:val="000000"/>
                <w:kern w:val="0"/>
                <w:szCs w:val="21"/>
                <w:lang w:val="en-US" w:eastAsia="zh-CN"/>
              </w:rPr>
            </w:pPr>
          </w:p>
          <w:p>
            <w:pPr>
              <w:widowControl/>
              <w:ind w:firstLine="210" w:firstLineChars="100"/>
              <w:jc w:val="both"/>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855"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700"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绿色交通</w:t>
            </w:r>
          </w:p>
        </w:tc>
        <w:tc>
          <w:tcPr>
            <w:tcW w:w="1230" w:type="dxa"/>
            <w:vMerge w:val="restart"/>
            <w:tcBorders>
              <w:top w:val="single" w:color="auto" w:sz="4" w:space="0"/>
              <w:left w:val="single" w:color="auto" w:sz="4" w:space="0"/>
              <w:right w:val="single" w:color="auto" w:sz="4" w:space="0"/>
            </w:tcBorders>
            <w:shd w:val="clear" w:color="auto" w:fill="auto"/>
            <w:noWrap/>
            <w:vAlign w:val="center"/>
          </w:tcPr>
          <w:p>
            <w:pPr>
              <w:widowControl/>
              <w:jc w:val="both"/>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建设资源节约、生态环保、节能高效</w:t>
            </w:r>
          </w:p>
        </w:tc>
        <w:tc>
          <w:tcPr>
            <w:tcW w:w="110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有效执行</w:t>
            </w:r>
          </w:p>
        </w:tc>
        <w:tc>
          <w:tcPr>
            <w:tcW w:w="993" w:type="dxa"/>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5</w:t>
            </w:r>
          </w:p>
        </w:tc>
        <w:tc>
          <w:tcPr>
            <w:tcW w:w="855"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800" w:hRule="atLeast"/>
          <w:jc w:val="center"/>
        </w:trPr>
        <w:tc>
          <w:tcPr>
            <w:tcW w:w="1135" w:type="dxa"/>
            <w:vMerge w:val="continue"/>
            <w:tcBorders>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tc>
        <w:tc>
          <w:tcPr>
            <w:tcW w:w="992" w:type="dxa"/>
            <w:vMerge w:val="continue"/>
            <w:tcBorders>
              <w:left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长期对公路养护</w:t>
            </w:r>
          </w:p>
        </w:tc>
        <w:tc>
          <w:tcPr>
            <w:tcW w:w="123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长期对管辖内公路巡查</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长期执行</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5</w:t>
            </w:r>
          </w:p>
          <w:p>
            <w:pPr>
              <w:widowControl/>
              <w:jc w:val="center"/>
              <w:rPr>
                <w:rFonts w:ascii="Times New Roman" w:hAnsi="Times New Roman" w:eastAsia="仿宋_GB2312" w:cs="Times New Roman"/>
                <w:color w:val="000000"/>
                <w:kern w:val="0"/>
                <w:sz w:val="21"/>
                <w:szCs w:val="21"/>
                <w:lang w:val="en-US" w:eastAsia="zh-CN" w:bidi="ar-SA"/>
              </w:rPr>
            </w:pP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5</w:t>
            </w:r>
          </w:p>
          <w:p>
            <w:pPr>
              <w:widowControl/>
              <w:jc w:val="center"/>
              <w:rPr>
                <w:rFonts w:ascii="Times New Roman" w:hAnsi="Times New Roman" w:eastAsia="仿宋_GB2312" w:cs="Times New Roman"/>
                <w:color w:val="000000"/>
                <w:kern w:val="0"/>
                <w:sz w:val="21"/>
                <w:szCs w:val="21"/>
                <w:lang w:val="en-US" w:eastAsia="zh-CN" w:bidi="ar-SA"/>
              </w:rPr>
            </w:pP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836" w:hRule="atLeast"/>
          <w:jc w:val="center"/>
        </w:trPr>
        <w:tc>
          <w:tcPr>
            <w:tcW w:w="1135" w:type="dxa"/>
            <w:vMerge w:val="continue"/>
            <w:tcBorders>
              <w:left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992" w:type="dxa"/>
            <w:tcBorders>
              <w:top w:val="nil"/>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nil"/>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公众满意度</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rPr>
              <w:t>≧</w:t>
            </w:r>
            <w:r>
              <w:rPr>
                <w:rFonts w:hint="eastAsia" w:ascii="Times New Roman" w:hAnsi="Times New Roman" w:eastAsia="仿宋_GB2312"/>
                <w:color w:val="000000"/>
                <w:kern w:val="0"/>
                <w:szCs w:val="21"/>
                <w:lang w:val="en-US" w:eastAsia="zh-CN"/>
              </w:rPr>
              <w:t>95%</w:t>
            </w:r>
          </w:p>
        </w:tc>
        <w:tc>
          <w:tcPr>
            <w:tcW w:w="110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rPr>
              <w:t>≧</w:t>
            </w:r>
            <w:r>
              <w:rPr>
                <w:rFonts w:hint="eastAsia" w:ascii="Times New Roman" w:hAnsi="Times New Roman" w:eastAsia="仿宋_GB2312"/>
                <w:color w:val="000000"/>
                <w:kern w:val="0"/>
                <w:szCs w:val="21"/>
                <w:lang w:val="en-US" w:eastAsia="zh-CN"/>
              </w:rPr>
              <w:t>95%</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ind w:firstLine="420" w:firstLineChars="200"/>
              <w:jc w:val="both"/>
              <w:rPr>
                <w:rFonts w:hint="eastAsia" w:ascii="Times New Roman" w:hAnsi="Times New Roman" w:eastAsia="仿宋_GB2312"/>
                <w:color w:val="000000"/>
                <w:kern w:val="0"/>
                <w:szCs w:val="21"/>
                <w:lang w:val="en-US" w:eastAsia="zh-CN"/>
              </w:rPr>
            </w:pPr>
          </w:p>
          <w:p>
            <w:pPr>
              <w:widowControl/>
              <w:ind w:firstLine="420" w:firstLineChars="200"/>
              <w:jc w:val="both"/>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ind w:firstLine="210" w:firstLineChars="100"/>
              <w:jc w:val="both"/>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pPr>
        <w:rPr>
          <w:rFonts w:ascii="Times New Roman" w:hAnsi="Times New Roman" w:eastAsia="仿宋_GB2312"/>
          <w:sz w:val="24"/>
        </w:rPr>
      </w:pPr>
    </w:p>
    <w:p>
      <w:pPr>
        <w:jc w:val="left"/>
        <w:rPr>
          <w:rFonts w:hint="eastAsia" w:ascii="Times New Roman" w:hAnsi="Times New Roman" w:eastAsia="仿宋_GB2312" w:cs="Times New Roman"/>
          <w:sz w:val="24"/>
          <w:lang w:val="en-US" w:eastAsia="zh-CN"/>
        </w:rPr>
      </w:pPr>
      <w:r>
        <w:rPr>
          <w:rFonts w:ascii="Times New Roman" w:hAnsi="Times New Roman" w:eastAsia="仿宋_GB2312"/>
          <w:sz w:val="24"/>
        </w:rPr>
        <w:t>填表人：</w:t>
      </w:r>
      <w:r>
        <w:rPr>
          <w:rFonts w:hint="eastAsia" w:ascii="Times New Roman" w:hAnsi="Times New Roman" w:eastAsia="仿宋_GB2312"/>
          <w:sz w:val="24"/>
          <w:lang w:eastAsia="zh-CN"/>
        </w:rPr>
        <w:t>谢慧子</w:t>
      </w:r>
      <w:r>
        <w:rPr>
          <w:rFonts w:ascii="Times New Roman" w:hAnsi="Times New Roman" w:eastAsia="仿宋_GB2312"/>
          <w:sz w:val="24"/>
        </w:rPr>
        <w:t xml:space="preserve">   </w:t>
      </w:r>
      <w:r>
        <w:rPr>
          <w:rFonts w:hint="eastAsia" w:ascii="Times New Roman" w:hAnsi="Times New Roman" w:eastAsia="仿宋_GB2312"/>
          <w:sz w:val="24"/>
          <w:lang w:val="en-US" w:eastAsia="zh-CN"/>
        </w:rPr>
        <w:t xml:space="preserve">    </w:t>
      </w:r>
      <w:r>
        <w:rPr>
          <w:rFonts w:ascii="Times New Roman" w:hAnsi="Times New Roman" w:eastAsia="仿宋_GB2312"/>
          <w:sz w:val="24"/>
        </w:rPr>
        <w:t>填报日期：</w:t>
      </w:r>
      <w:r>
        <w:rPr>
          <w:rFonts w:hint="eastAsia" w:ascii="Times New Roman" w:hAnsi="Times New Roman" w:eastAsia="仿宋_GB2312"/>
          <w:sz w:val="24"/>
          <w:lang w:val="en-US" w:eastAsia="zh-CN"/>
        </w:rPr>
        <w:t>2023.03.31</w:t>
      </w:r>
      <w:r>
        <w:rPr>
          <w:rFonts w:ascii="Times New Roman" w:hAnsi="Times New Roman" w:eastAsia="仿宋_GB2312"/>
          <w:sz w:val="24"/>
        </w:rPr>
        <w:t xml:space="preserve">  </w:t>
      </w:r>
      <w:r>
        <w:rPr>
          <w:rFonts w:hint="eastAsia" w:ascii="Times New Roman" w:hAnsi="Times New Roman" w:eastAsia="仿宋_GB2312"/>
          <w:sz w:val="24"/>
          <w:lang w:val="en-US" w:eastAsia="zh-CN"/>
        </w:rPr>
        <w:t xml:space="preserve">     </w:t>
      </w:r>
      <w:r>
        <w:rPr>
          <w:rFonts w:ascii="Times New Roman" w:hAnsi="Times New Roman" w:eastAsia="仿宋_GB2312"/>
          <w:sz w:val="24"/>
        </w:rPr>
        <w:t>联系电话：</w:t>
      </w:r>
      <w:r>
        <w:rPr>
          <w:rFonts w:hint="eastAsia" w:ascii="Times New Roman" w:hAnsi="Times New Roman" w:eastAsia="仿宋_GB2312" w:cs="Times New Roman"/>
          <w:sz w:val="24"/>
          <w:lang w:val="en-US" w:eastAsia="zh-CN"/>
        </w:rPr>
        <w:t>17507479664</w:t>
      </w:r>
    </w:p>
    <w:p>
      <w:pPr>
        <w:jc w:val="left"/>
        <w:rPr>
          <w:rFonts w:hint="eastAsia" w:ascii="Times New Roman" w:hAnsi="Times New Roman" w:eastAsia="仿宋_GB2312" w:cs="Times New Roman"/>
          <w:sz w:val="24"/>
          <w:lang w:val="en-US" w:eastAsia="zh-CN"/>
        </w:rPr>
      </w:pPr>
    </w:p>
    <w:p>
      <w:pPr>
        <w:jc w:val="left"/>
        <w:rPr>
          <w:rFonts w:hint="eastAsia" w:ascii="Times New Roman" w:hAnsi="Times New Roman" w:eastAsia="仿宋_GB2312"/>
          <w:sz w:val="32"/>
          <w:szCs w:val="32"/>
          <w:lang w:eastAsia="zh-CN"/>
        </w:rPr>
      </w:pPr>
      <w:r>
        <w:rPr>
          <w:rFonts w:ascii="Times New Roman" w:hAnsi="Times New Roman" w:eastAsia="仿宋_GB2312"/>
          <w:sz w:val="24"/>
        </w:rPr>
        <w:t>单位负责人签字：</w:t>
      </w:r>
      <w:r>
        <w:rPr>
          <w:rFonts w:hint="eastAsia" w:ascii="Times New Roman" w:hAnsi="Times New Roman" w:eastAsia="仿宋_GB2312"/>
          <w:sz w:val="24"/>
          <w:lang w:eastAsia="zh-CN"/>
        </w:rPr>
        <w:t>陈述</w:t>
      </w: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tbl>
      <w:tblPr>
        <w:tblStyle w:val="7"/>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trPr>
          <w:trHeight w:val="690" w:hRule="atLeast"/>
          <w:jc w:val="center"/>
        </w:trPr>
        <w:tc>
          <w:tcPr>
            <w:tcW w:w="9999" w:type="dxa"/>
            <w:gridSpan w:val="9"/>
            <w:tcBorders>
              <w:top w:val="nil"/>
              <w:left w:val="nil"/>
              <w:bottom w:val="nil"/>
              <w:right w:val="nil"/>
            </w:tcBorders>
            <w:shd w:val="clear" w:color="auto" w:fill="auto"/>
            <w:noWrap/>
            <w:vAlign w:val="center"/>
          </w:tcPr>
          <w:p>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pPr>
              <w:widowControl/>
              <w:jc w:val="both"/>
              <w:rPr>
                <w:rFonts w:ascii="Times New Roman" w:hAnsi="Times New Roman"/>
                <w:color w:val="000000"/>
                <w:kern w:val="0"/>
                <w:sz w:val="22"/>
              </w:rPr>
            </w:pPr>
            <w:r>
              <w:rPr>
                <w:rFonts w:ascii="Times New Roman" w:hAnsi="Times New Roman"/>
                <w:color w:val="000000"/>
                <w:kern w:val="0"/>
                <w:sz w:val="22"/>
              </w:rPr>
              <w:t xml:space="preserve"> 填报单位： （盖章）</w:t>
            </w:r>
            <w:r>
              <w:rPr>
                <w:rFonts w:hint="eastAsia" w:ascii="Times New Roman" w:hAnsi="Times New Roman"/>
                <w:color w:val="000000"/>
                <w:kern w:val="0"/>
                <w:sz w:val="22"/>
                <w:lang w:val="en-US" w:eastAsia="zh-CN"/>
              </w:rPr>
              <w:t xml:space="preserve">                </w:t>
            </w:r>
            <w:r>
              <w:rPr>
                <w:rFonts w:ascii="Times New Roman" w:hAnsi="Times New Roman"/>
                <w:color w:val="000000"/>
                <w:kern w:val="0"/>
                <w:sz w:val="22"/>
              </w:rPr>
              <w:t>（</w:t>
            </w:r>
            <w:r>
              <w:rPr>
                <w:rFonts w:hint="eastAsia" w:ascii="Times New Roman" w:hAnsi="Times New Roman"/>
                <w:color w:val="000000"/>
                <w:kern w:val="0"/>
                <w:sz w:val="22"/>
                <w:lang w:val="en-US" w:eastAsia="zh-CN"/>
              </w:rPr>
              <w:t>2022</w:t>
            </w:r>
            <w:r>
              <w:rPr>
                <w:rFonts w:ascii="Times New Roman" w:hAnsi="Times New Roman"/>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农村公路生命安全防护工程</w:t>
            </w: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olor w:val="000000"/>
                <w:kern w:val="0"/>
                <w:szCs w:val="21"/>
                <w:lang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衡阳市公路建设养护中心</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olor w:val="000000"/>
                <w:kern w:val="0"/>
                <w:szCs w:val="21"/>
                <w:lang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衡阳市公路建设养护中心</w:t>
            </w:r>
          </w:p>
          <w:p>
            <w:pPr>
              <w:widowControl/>
              <w:ind w:firstLine="1050" w:firstLineChars="500"/>
              <w:jc w:val="left"/>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雁峰分中心</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ascii="Times New Roman" w:hAnsi="Times New Roman" w:eastAsia="仿宋_GB2312"/>
                <w:color w:val="000000"/>
                <w:kern w:val="0"/>
                <w:szCs w:val="21"/>
              </w:rPr>
              <w:t>项目资金</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230" w:type="dxa"/>
            <w:tcBorders>
              <w:top w:val="nil"/>
              <w:left w:val="nil"/>
              <w:bottom w:val="single" w:color="auto" w:sz="4" w:space="0"/>
              <w:right w:val="single" w:color="auto" w:sz="4" w:space="0"/>
            </w:tcBorders>
            <w:shd w:val="clear" w:color="auto" w:fill="auto"/>
            <w:noWrap/>
            <w:vAlign w:val="center"/>
          </w:tcPr>
          <w:p>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107" w:type="dxa"/>
            <w:tcBorders>
              <w:top w:val="nil"/>
              <w:left w:val="nil"/>
              <w:bottom w:val="single" w:color="auto" w:sz="4" w:space="0"/>
              <w:right w:val="single" w:color="auto" w:sz="4" w:space="0"/>
            </w:tcBorders>
            <w:shd w:val="clear" w:color="auto" w:fill="auto"/>
            <w:noWrap/>
          </w:tcPr>
          <w:p>
            <w:pPr>
              <w:spacing w:line="240" w:lineRule="exact"/>
              <w:jc w:val="center"/>
              <w:rPr>
                <w:rFonts w:ascii="Times New Roman" w:hAnsi="Times New Roman" w:eastAsia="仿宋_GB2312"/>
                <w:szCs w:val="21"/>
              </w:rPr>
            </w:pPr>
            <w:r>
              <w:rPr>
                <w:rFonts w:ascii="Times New Roman" w:hAnsi="Times New Roman" w:eastAsia="仿宋_GB2312"/>
                <w:szCs w:val="21"/>
              </w:rPr>
              <w:t>全年</w:t>
            </w:r>
          </w:p>
          <w:p>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pPr>
              <w:spacing w:line="240" w:lineRule="exact"/>
              <w:jc w:val="center"/>
              <w:rPr>
                <w:rFonts w:ascii="Times New Roman" w:hAnsi="Times New Roman" w:eastAsia="仿宋_GB2312"/>
                <w:szCs w:val="21"/>
              </w:rPr>
            </w:pPr>
          </w:p>
          <w:p>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pPr>
              <w:spacing w:line="240" w:lineRule="exact"/>
              <w:jc w:val="center"/>
              <w:rPr>
                <w:rFonts w:ascii="Times New Roman" w:hAnsi="Times New Roman" w:eastAsia="仿宋_GB2312"/>
                <w:szCs w:val="21"/>
              </w:rPr>
            </w:pPr>
          </w:p>
          <w:p>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pPr>
              <w:spacing w:line="240" w:lineRule="exact"/>
              <w:jc w:val="center"/>
              <w:rPr>
                <w:rFonts w:ascii="Times New Roman" w:hAnsi="Times New Roman" w:eastAsia="仿宋_GB2312"/>
                <w:szCs w:val="21"/>
              </w:rPr>
            </w:pPr>
          </w:p>
          <w:p>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188.17</w:t>
            </w:r>
          </w:p>
        </w:tc>
        <w:tc>
          <w:tcPr>
            <w:tcW w:w="110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188.17</w:t>
            </w:r>
          </w:p>
        </w:tc>
        <w:tc>
          <w:tcPr>
            <w:tcW w:w="9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10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81.76</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81.76</w:t>
            </w:r>
          </w:p>
        </w:tc>
        <w:tc>
          <w:tcPr>
            <w:tcW w:w="9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 xml:space="preserve">  106.41</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106.41</w:t>
            </w:r>
          </w:p>
        </w:tc>
        <w:tc>
          <w:tcPr>
            <w:tcW w:w="9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p>
        </w:tc>
        <w:tc>
          <w:tcPr>
            <w:tcW w:w="9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tblPrEx>
          <w:tblCellMar>
            <w:top w:w="0" w:type="dxa"/>
            <w:left w:w="108" w:type="dxa"/>
            <w:bottom w:w="0" w:type="dxa"/>
            <w:right w:w="108" w:type="dxa"/>
          </w:tblCellMar>
        </w:tblPrEx>
        <w:trPr>
          <w:trHeight w:val="610"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完成全年内安防工程</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完成目标</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tblPrEx>
          <w:tblCellMar>
            <w:top w:w="0" w:type="dxa"/>
            <w:left w:w="108" w:type="dxa"/>
            <w:bottom w:w="0" w:type="dxa"/>
            <w:right w:w="108" w:type="dxa"/>
          </w:tblCellMar>
        </w:tblPrEx>
        <w:trPr>
          <w:trHeight w:val="1560"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pPr>
              <w:widowControl/>
              <w:jc w:val="center"/>
              <w:rPr>
                <w:rFonts w:ascii="Times New Roman" w:hAnsi="Times New Roman" w:eastAsia="仿宋_GB2312"/>
                <w:color w:val="000000"/>
                <w:kern w:val="0"/>
                <w:szCs w:val="21"/>
              </w:rPr>
            </w:pP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vMerge w:val="restart"/>
            <w:tcBorders>
              <w:top w:val="single" w:color="auto" w:sz="4" w:space="0"/>
              <w:left w:val="nil"/>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完成投资农村公路大中修覆盖率</w:t>
            </w:r>
          </w:p>
        </w:tc>
        <w:tc>
          <w:tcPr>
            <w:tcW w:w="1230"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覆盖率达到</w:t>
            </w:r>
            <w:r>
              <w:rPr>
                <w:rFonts w:hint="eastAsia" w:ascii="Times New Roman" w:hAnsi="Times New Roman" w:eastAsia="仿宋_GB2312"/>
                <w:color w:val="000000"/>
                <w:kern w:val="0"/>
                <w:szCs w:val="21"/>
                <w:lang w:val="en-US" w:eastAsia="zh-CN"/>
              </w:rPr>
              <w:t>100%</w:t>
            </w:r>
          </w:p>
        </w:tc>
        <w:tc>
          <w:tcPr>
            <w:tcW w:w="1107"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p>
          <w:p>
            <w:pPr>
              <w:widowControl/>
              <w:ind w:firstLine="210" w:firstLineChars="100"/>
              <w:jc w:val="left"/>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p>
            <w:pPr>
              <w:widowControl/>
              <w:jc w:val="left"/>
              <w:rPr>
                <w:rFonts w:ascii="Times New Roman" w:hAnsi="Times New Roman" w:eastAsia="仿宋_GB2312" w:cs="Times New Roman"/>
                <w:color w:val="000000"/>
                <w:kern w:val="0"/>
                <w:sz w:val="21"/>
                <w:szCs w:val="21"/>
                <w:lang w:val="en-US" w:eastAsia="zh-CN" w:bidi="ar-SA"/>
              </w:rPr>
            </w:pPr>
            <w:r>
              <w:rPr>
                <w:rFonts w:ascii="Times New Roman" w:hAnsi="Times New Roman" w:eastAsia="仿宋_GB2312"/>
                <w:color w:val="000000"/>
                <w:kern w:val="0"/>
                <w:szCs w:val="21"/>
              </w:rPr>
              <w:t>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15</w:t>
            </w:r>
          </w:p>
        </w:tc>
        <w:tc>
          <w:tcPr>
            <w:tcW w:w="855" w:type="dxa"/>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15</w:t>
            </w:r>
          </w:p>
        </w:tc>
        <w:tc>
          <w:tcPr>
            <w:tcW w:w="1271"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1385"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vMerge w:val="restart"/>
            <w:tcBorders>
              <w:top w:val="single" w:color="auto" w:sz="4" w:space="0"/>
              <w:left w:val="nil"/>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国省道路使用性能数、工程监督抽检覆盖率</w:t>
            </w:r>
          </w:p>
        </w:tc>
        <w:tc>
          <w:tcPr>
            <w:tcW w:w="1230"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rPr>
              <w:t>≧</w:t>
            </w:r>
            <w:r>
              <w:rPr>
                <w:rFonts w:hint="eastAsia" w:ascii="Times New Roman" w:hAnsi="Times New Roman" w:eastAsia="仿宋_GB2312"/>
                <w:color w:val="000000"/>
                <w:kern w:val="0"/>
                <w:szCs w:val="21"/>
                <w:lang w:val="en-US" w:eastAsia="zh-CN"/>
              </w:rPr>
              <w:t>100%</w:t>
            </w:r>
          </w:p>
        </w:tc>
        <w:tc>
          <w:tcPr>
            <w:tcW w:w="1107"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hint="default" w:ascii="Times New Roman" w:hAnsi="Times New Roman" w:eastAsia="仿宋_GB2312" w:cs="Times New Roman"/>
                <w:color w:val="000000"/>
                <w:kern w:val="0"/>
                <w:sz w:val="21"/>
                <w:szCs w:val="21"/>
                <w:lang w:val="en-US" w:eastAsia="zh-CN" w:bidi="ar-SA"/>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15</w:t>
            </w:r>
          </w:p>
        </w:tc>
        <w:tc>
          <w:tcPr>
            <w:tcW w:w="855" w:type="dxa"/>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15</w:t>
            </w:r>
          </w:p>
        </w:tc>
        <w:tc>
          <w:tcPr>
            <w:tcW w:w="1271"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1408"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政府下达工程按期完成</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2022年任务按期完成</w:t>
            </w:r>
          </w:p>
          <w:p>
            <w:pPr>
              <w:widowControl/>
              <w:jc w:val="center"/>
              <w:rPr>
                <w:rFonts w:ascii="Times New Roman" w:hAnsi="Times New Roman" w:eastAsia="仿宋_GB2312" w:cs="Times New Roman"/>
                <w:color w:val="000000"/>
                <w:kern w:val="0"/>
                <w:sz w:val="21"/>
                <w:szCs w:val="21"/>
                <w:lang w:val="en-US" w:eastAsia="zh-CN" w:bidi="ar-SA"/>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100%</w:t>
            </w:r>
          </w:p>
          <w:p>
            <w:pPr>
              <w:widowControl/>
              <w:jc w:val="left"/>
              <w:rPr>
                <w:rFonts w:ascii="Times New Roman" w:hAnsi="Times New Roman" w:eastAsia="仿宋_GB2312" w:cs="Times New Roman"/>
                <w:color w:val="000000"/>
                <w:kern w:val="0"/>
                <w:sz w:val="21"/>
                <w:szCs w:val="21"/>
                <w:lang w:val="en-US" w:eastAsia="zh-CN" w:bidi="ar-SA"/>
              </w:rPr>
            </w:pPr>
            <w:r>
              <w:rPr>
                <w:rFonts w:ascii="Times New Roman" w:hAnsi="Times New Roman" w:eastAsia="仿宋_GB2312"/>
                <w:color w:val="000000"/>
                <w:kern w:val="0"/>
                <w:szCs w:val="21"/>
              </w:rPr>
              <w:t>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2734"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国省道大中修补助标准、农村公路改善提升工程补助标准</w:t>
            </w:r>
          </w:p>
        </w:tc>
        <w:tc>
          <w:tcPr>
            <w:tcW w:w="123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olor w:val="000000"/>
                <w:kern w:val="0"/>
                <w:szCs w:val="21"/>
                <w:lang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不超过下达的预期成本</w:t>
            </w:r>
          </w:p>
          <w:p>
            <w:pPr>
              <w:widowControl/>
              <w:jc w:val="left"/>
              <w:rPr>
                <w:rFonts w:ascii="Times New Roman" w:hAnsi="Times New Roman" w:eastAsia="仿宋_GB2312" w:cs="Times New Roman"/>
                <w:color w:val="000000"/>
                <w:kern w:val="0"/>
                <w:sz w:val="21"/>
                <w:szCs w:val="21"/>
                <w:lang w:val="en-US" w:eastAsia="zh-CN" w:bidi="ar-SA"/>
              </w:rPr>
            </w:pPr>
            <w:r>
              <w:rPr>
                <w:rFonts w:ascii="Times New Roman" w:hAnsi="Times New Roman" w:eastAsia="仿宋_GB2312"/>
                <w:color w:val="000000"/>
                <w:kern w:val="0"/>
                <w:szCs w:val="21"/>
              </w:rPr>
              <w:t>　</w:t>
            </w:r>
          </w:p>
        </w:tc>
        <w:tc>
          <w:tcPr>
            <w:tcW w:w="1107"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没有超过预期成本</w:t>
            </w:r>
          </w:p>
          <w:p>
            <w:pPr>
              <w:widowControl/>
              <w:jc w:val="left"/>
              <w:rPr>
                <w:rFonts w:ascii="Times New Roman" w:hAnsi="Times New Roman" w:eastAsia="仿宋_GB2312" w:cs="Times New Roman"/>
                <w:color w:val="000000"/>
                <w:kern w:val="0"/>
                <w:sz w:val="21"/>
                <w:szCs w:val="21"/>
                <w:lang w:val="en-US" w:eastAsia="zh-CN" w:bidi="ar-SA"/>
              </w:rPr>
            </w:pPr>
            <w:r>
              <w:rPr>
                <w:rFonts w:ascii="Times New Roman" w:hAnsi="Times New Roman" w:eastAsia="仿宋_GB2312"/>
                <w:color w:val="000000"/>
                <w:kern w:val="0"/>
                <w:szCs w:val="21"/>
              </w:rPr>
              <w:t>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700"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pPr>
              <w:widowControl/>
              <w:jc w:val="left"/>
              <w:rPr>
                <w:rFonts w:ascii="Times New Roman" w:hAnsi="Times New Roman" w:eastAsia="仿宋_GB2312"/>
                <w:color w:val="000000"/>
                <w:kern w:val="0"/>
                <w:szCs w:val="21"/>
              </w:rPr>
            </w:pP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提供就业岗位；增加群众收入</w:t>
            </w:r>
          </w:p>
        </w:tc>
        <w:tc>
          <w:tcPr>
            <w:tcW w:w="1230"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有效促进</w:t>
            </w:r>
          </w:p>
        </w:tc>
        <w:tc>
          <w:tcPr>
            <w:tcW w:w="1107"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p>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有效执行</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855"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1271"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800"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vMerge w:val="restart"/>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交通基础设施网络</w:t>
            </w:r>
          </w:p>
        </w:tc>
        <w:tc>
          <w:tcPr>
            <w:tcW w:w="1230" w:type="dxa"/>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构建外畅内联、结构合理、安全高效公路网</w:t>
            </w:r>
          </w:p>
        </w:tc>
        <w:tc>
          <w:tcPr>
            <w:tcW w:w="1107"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有效促进</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nil"/>
              <w:right w:val="single" w:color="auto" w:sz="4" w:space="0"/>
            </w:tcBorders>
            <w:shd w:val="clear" w:color="auto" w:fill="auto"/>
            <w:noWrap/>
            <w:vAlign w:val="center"/>
          </w:tcPr>
          <w:p>
            <w:pPr>
              <w:widowControl/>
              <w:ind w:firstLine="420" w:firstLineChars="200"/>
              <w:jc w:val="center"/>
              <w:rPr>
                <w:rFonts w:hint="eastAsia" w:ascii="Times New Roman" w:hAnsi="Times New Roman" w:eastAsia="仿宋_GB2312"/>
                <w:color w:val="000000"/>
                <w:kern w:val="0"/>
                <w:szCs w:val="21"/>
                <w:lang w:val="en-US" w:eastAsia="zh-CN"/>
              </w:rPr>
            </w:pPr>
          </w:p>
          <w:p>
            <w:pPr>
              <w:widowControl/>
              <w:ind w:firstLine="210" w:firstLineChars="100"/>
              <w:jc w:val="both"/>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855"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700"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绿色交通</w:t>
            </w:r>
          </w:p>
        </w:tc>
        <w:tc>
          <w:tcPr>
            <w:tcW w:w="1230" w:type="dxa"/>
            <w:vMerge w:val="restart"/>
            <w:tcBorders>
              <w:top w:val="single" w:color="auto" w:sz="4" w:space="0"/>
              <w:left w:val="single" w:color="auto" w:sz="4" w:space="0"/>
              <w:right w:val="single" w:color="auto" w:sz="4" w:space="0"/>
            </w:tcBorders>
            <w:shd w:val="clear" w:color="auto" w:fill="auto"/>
            <w:noWrap/>
            <w:vAlign w:val="center"/>
          </w:tcPr>
          <w:p>
            <w:pPr>
              <w:widowControl/>
              <w:jc w:val="both"/>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建设资源节约、生态环保、节能高效</w:t>
            </w:r>
          </w:p>
        </w:tc>
        <w:tc>
          <w:tcPr>
            <w:tcW w:w="110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有效执行</w:t>
            </w:r>
          </w:p>
        </w:tc>
        <w:tc>
          <w:tcPr>
            <w:tcW w:w="993" w:type="dxa"/>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5</w:t>
            </w:r>
          </w:p>
        </w:tc>
        <w:tc>
          <w:tcPr>
            <w:tcW w:w="855"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800" w:hRule="atLeast"/>
          <w:jc w:val="center"/>
        </w:trPr>
        <w:tc>
          <w:tcPr>
            <w:tcW w:w="1135" w:type="dxa"/>
            <w:vMerge w:val="continue"/>
            <w:tcBorders>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tc>
        <w:tc>
          <w:tcPr>
            <w:tcW w:w="992" w:type="dxa"/>
            <w:vMerge w:val="continue"/>
            <w:tcBorders>
              <w:left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长期对公路养护</w:t>
            </w:r>
          </w:p>
        </w:tc>
        <w:tc>
          <w:tcPr>
            <w:tcW w:w="123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长期对管辖内公路巡查</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长期执行</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5</w:t>
            </w:r>
          </w:p>
          <w:p>
            <w:pPr>
              <w:widowControl/>
              <w:jc w:val="center"/>
              <w:rPr>
                <w:rFonts w:ascii="Times New Roman" w:hAnsi="Times New Roman" w:eastAsia="仿宋_GB2312" w:cs="Times New Roman"/>
                <w:color w:val="000000"/>
                <w:kern w:val="0"/>
                <w:sz w:val="21"/>
                <w:szCs w:val="21"/>
                <w:lang w:val="en-US" w:eastAsia="zh-CN" w:bidi="ar-SA"/>
              </w:rPr>
            </w:pP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5</w:t>
            </w:r>
          </w:p>
          <w:p>
            <w:pPr>
              <w:widowControl/>
              <w:jc w:val="center"/>
              <w:rPr>
                <w:rFonts w:ascii="Times New Roman" w:hAnsi="Times New Roman" w:eastAsia="仿宋_GB2312" w:cs="Times New Roman"/>
                <w:color w:val="000000"/>
                <w:kern w:val="0"/>
                <w:sz w:val="21"/>
                <w:szCs w:val="21"/>
                <w:lang w:val="en-US" w:eastAsia="zh-CN" w:bidi="ar-SA"/>
              </w:rPr>
            </w:pP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836" w:hRule="atLeast"/>
          <w:jc w:val="center"/>
        </w:trPr>
        <w:tc>
          <w:tcPr>
            <w:tcW w:w="1135" w:type="dxa"/>
            <w:vMerge w:val="continue"/>
            <w:tcBorders>
              <w:left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992" w:type="dxa"/>
            <w:tcBorders>
              <w:top w:val="nil"/>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nil"/>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公众满意度</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rPr>
              <w:t>≧</w:t>
            </w:r>
            <w:r>
              <w:rPr>
                <w:rFonts w:hint="eastAsia" w:ascii="Times New Roman" w:hAnsi="Times New Roman" w:eastAsia="仿宋_GB2312"/>
                <w:color w:val="000000"/>
                <w:kern w:val="0"/>
                <w:szCs w:val="21"/>
                <w:lang w:val="en-US" w:eastAsia="zh-CN"/>
              </w:rPr>
              <w:t>95%</w:t>
            </w:r>
          </w:p>
        </w:tc>
        <w:tc>
          <w:tcPr>
            <w:tcW w:w="110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rPr>
              <w:t>≧</w:t>
            </w:r>
            <w:r>
              <w:rPr>
                <w:rFonts w:hint="eastAsia" w:ascii="Times New Roman" w:hAnsi="Times New Roman" w:eastAsia="仿宋_GB2312"/>
                <w:color w:val="000000"/>
                <w:kern w:val="0"/>
                <w:szCs w:val="21"/>
                <w:lang w:val="en-US" w:eastAsia="zh-CN"/>
              </w:rPr>
              <w:t>95%</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ind w:firstLine="420" w:firstLineChars="200"/>
              <w:jc w:val="both"/>
              <w:rPr>
                <w:rFonts w:hint="eastAsia" w:ascii="Times New Roman" w:hAnsi="Times New Roman" w:eastAsia="仿宋_GB2312"/>
                <w:color w:val="000000"/>
                <w:kern w:val="0"/>
                <w:szCs w:val="21"/>
                <w:lang w:val="en-US" w:eastAsia="zh-CN"/>
              </w:rPr>
            </w:pPr>
          </w:p>
          <w:p>
            <w:pPr>
              <w:widowControl/>
              <w:ind w:firstLine="420" w:firstLineChars="200"/>
              <w:jc w:val="both"/>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ind w:firstLine="210" w:firstLineChars="100"/>
              <w:jc w:val="both"/>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pPr>
        <w:jc w:val="left"/>
        <w:rPr>
          <w:rFonts w:hint="eastAsia" w:ascii="Times New Roman" w:hAnsi="Times New Roman" w:eastAsia="仿宋_GB2312" w:cs="Times New Roman"/>
          <w:sz w:val="24"/>
          <w:lang w:val="en-US" w:eastAsia="zh-CN"/>
        </w:rPr>
      </w:pPr>
      <w:r>
        <w:rPr>
          <w:rFonts w:ascii="Times New Roman" w:hAnsi="Times New Roman" w:eastAsia="仿宋_GB2312"/>
          <w:sz w:val="24"/>
        </w:rPr>
        <w:t>填表人：</w:t>
      </w:r>
      <w:r>
        <w:rPr>
          <w:rFonts w:hint="eastAsia" w:ascii="Times New Roman" w:hAnsi="Times New Roman" w:eastAsia="仿宋_GB2312"/>
          <w:sz w:val="24"/>
          <w:lang w:eastAsia="zh-CN"/>
        </w:rPr>
        <w:t>谢慧子</w:t>
      </w:r>
      <w:r>
        <w:rPr>
          <w:rFonts w:ascii="Times New Roman" w:hAnsi="Times New Roman" w:eastAsia="仿宋_GB2312"/>
          <w:sz w:val="24"/>
        </w:rPr>
        <w:t xml:space="preserve">   </w:t>
      </w:r>
      <w:r>
        <w:rPr>
          <w:rFonts w:hint="eastAsia" w:ascii="Times New Roman" w:hAnsi="Times New Roman" w:eastAsia="仿宋_GB2312"/>
          <w:sz w:val="24"/>
          <w:lang w:val="en-US" w:eastAsia="zh-CN"/>
        </w:rPr>
        <w:t xml:space="preserve">       </w:t>
      </w:r>
      <w:r>
        <w:rPr>
          <w:rFonts w:ascii="Times New Roman" w:hAnsi="Times New Roman" w:eastAsia="仿宋_GB2312"/>
          <w:sz w:val="24"/>
        </w:rPr>
        <w:t>填报日期：</w:t>
      </w:r>
      <w:r>
        <w:rPr>
          <w:rFonts w:hint="eastAsia" w:ascii="Times New Roman" w:hAnsi="Times New Roman" w:eastAsia="仿宋_GB2312"/>
          <w:sz w:val="24"/>
          <w:lang w:val="en-US" w:eastAsia="zh-CN"/>
        </w:rPr>
        <w:t>2023.03.31</w:t>
      </w:r>
      <w:r>
        <w:rPr>
          <w:rFonts w:ascii="Times New Roman" w:hAnsi="Times New Roman" w:eastAsia="仿宋_GB2312"/>
          <w:sz w:val="24"/>
        </w:rPr>
        <w:t xml:space="preserve">  </w:t>
      </w:r>
      <w:r>
        <w:rPr>
          <w:rFonts w:hint="eastAsia" w:ascii="Times New Roman" w:hAnsi="Times New Roman" w:eastAsia="仿宋_GB2312"/>
          <w:sz w:val="24"/>
          <w:lang w:val="en-US" w:eastAsia="zh-CN"/>
        </w:rPr>
        <w:t xml:space="preserve">     </w:t>
      </w:r>
      <w:r>
        <w:rPr>
          <w:rFonts w:ascii="Times New Roman" w:hAnsi="Times New Roman" w:eastAsia="仿宋_GB2312"/>
          <w:sz w:val="24"/>
        </w:rPr>
        <w:t>联系电话：</w:t>
      </w:r>
      <w:r>
        <w:rPr>
          <w:rFonts w:hint="eastAsia" w:ascii="Times New Roman" w:hAnsi="Times New Roman" w:eastAsia="仿宋_GB2312" w:cs="Times New Roman"/>
          <w:sz w:val="24"/>
          <w:lang w:val="en-US" w:eastAsia="zh-CN"/>
        </w:rPr>
        <w:t>17507479664</w:t>
      </w:r>
    </w:p>
    <w:p>
      <w:pPr>
        <w:jc w:val="left"/>
        <w:rPr>
          <w:rFonts w:hint="eastAsia" w:ascii="Times New Roman" w:hAnsi="Times New Roman" w:eastAsia="仿宋_GB2312" w:cs="Times New Roman"/>
          <w:sz w:val="24"/>
          <w:lang w:val="en-US" w:eastAsia="zh-CN"/>
        </w:rPr>
      </w:pPr>
    </w:p>
    <w:p>
      <w:pPr>
        <w:jc w:val="left"/>
        <w:rPr>
          <w:rFonts w:hint="eastAsia" w:ascii="Times New Roman" w:hAnsi="Times New Roman" w:eastAsia="仿宋_GB2312"/>
          <w:sz w:val="32"/>
          <w:szCs w:val="32"/>
          <w:lang w:eastAsia="zh-CN"/>
        </w:rPr>
      </w:pPr>
      <w:r>
        <w:rPr>
          <w:rFonts w:ascii="Times New Roman" w:hAnsi="Times New Roman" w:eastAsia="仿宋_GB2312"/>
          <w:sz w:val="24"/>
        </w:rPr>
        <w:t>单位负责人签字：</w:t>
      </w:r>
      <w:r>
        <w:rPr>
          <w:rFonts w:hint="eastAsia" w:ascii="Times New Roman" w:hAnsi="Times New Roman" w:eastAsia="仿宋_GB2312"/>
          <w:sz w:val="24"/>
          <w:lang w:eastAsia="zh-CN"/>
        </w:rPr>
        <w:t>陈述</w:t>
      </w: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tbl>
      <w:tblPr>
        <w:tblStyle w:val="7"/>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shd w:val="clear" w:color="auto" w:fill="auto"/>
            <w:noWrap/>
            <w:vAlign w:val="center"/>
          </w:tcPr>
          <w:p>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pPr>
              <w:widowControl/>
              <w:jc w:val="both"/>
              <w:rPr>
                <w:rFonts w:ascii="Times New Roman" w:hAnsi="Times New Roman"/>
                <w:color w:val="000000"/>
                <w:kern w:val="0"/>
                <w:sz w:val="22"/>
              </w:rPr>
            </w:pPr>
            <w:r>
              <w:rPr>
                <w:rFonts w:ascii="Times New Roman" w:hAnsi="Times New Roman"/>
                <w:color w:val="000000"/>
                <w:kern w:val="0"/>
                <w:sz w:val="22"/>
              </w:rPr>
              <w:t xml:space="preserve"> 填报单位： （盖章）</w:t>
            </w:r>
            <w:r>
              <w:rPr>
                <w:rFonts w:hint="eastAsia" w:ascii="Times New Roman" w:hAnsi="Times New Roman"/>
                <w:color w:val="000000"/>
                <w:kern w:val="0"/>
                <w:sz w:val="22"/>
                <w:lang w:val="en-US" w:eastAsia="zh-CN"/>
              </w:rPr>
              <w:t xml:space="preserve">                </w:t>
            </w:r>
            <w:r>
              <w:rPr>
                <w:rFonts w:ascii="Times New Roman" w:hAnsi="Times New Roman"/>
                <w:color w:val="000000"/>
                <w:kern w:val="0"/>
                <w:sz w:val="22"/>
              </w:rPr>
              <w:t>（</w:t>
            </w:r>
            <w:r>
              <w:rPr>
                <w:rFonts w:hint="eastAsia" w:ascii="Times New Roman" w:hAnsi="Times New Roman"/>
                <w:color w:val="000000"/>
                <w:kern w:val="0"/>
                <w:sz w:val="22"/>
                <w:lang w:val="en-US" w:eastAsia="zh-CN"/>
              </w:rPr>
              <w:t>2022</w:t>
            </w:r>
            <w:r>
              <w:rPr>
                <w:rFonts w:ascii="Times New Roman" w:hAnsi="Times New Roman"/>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lang w:eastAsia="zh-CN"/>
              </w:rPr>
              <w:t>危桥改造</w:t>
            </w: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olor w:val="000000"/>
                <w:kern w:val="0"/>
                <w:szCs w:val="21"/>
                <w:lang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衡阳市公路建设养护中心</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olor w:val="000000"/>
                <w:kern w:val="0"/>
                <w:szCs w:val="21"/>
                <w:lang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衡阳市公路建设养护中心</w:t>
            </w:r>
          </w:p>
          <w:p>
            <w:pPr>
              <w:widowControl/>
              <w:ind w:firstLine="840" w:firstLineChars="400"/>
              <w:jc w:val="left"/>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雁峰分中心</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ascii="Times New Roman" w:hAnsi="Times New Roman" w:eastAsia="仿宋_GB2312"/>
                <w:color w:val="000000"/>
                <w:kern w:val="0"/>
                <w:szCs w:val="21"/>
              </w:rPr>
              <w:t>项目资金</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230" w:type="dxa"/>
            <w:tcBorders>
              <w:top w:val="nil"/>
              <w:left w:val="nil"/>
              <w:bottom w:val="single" w:color="auto" w:sz="4" w:space="0"/>
              <w:right w:val="single" w:color="auto" w:sz="4" w:space="0"/>
            </w:tcBorders>
            <w:shd w:val="clear" w:color="auto" w:fill="auto"/>
            <w:noWrap/>
            <w:vAlign w:val="center"/>
          </w:tcPr>
          <w:p>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107" w:type="dxa"/>
            <w:tcBorders>
              <w:top w:val="nil"/>
              <w:left w:val="nil"/>
              <w:bottom w:val="single" w:color="auto" w:sz="4" w:space="0"/>
              <w:right w:val="single" w:color="auto" w:sz="4" w:space="0"/>
            </w:tcBorders>
            <w:shd w:val="clear" w:color="auto" w:fill="auto"/>
            <w:noWrap/>
          </w:tcPr>
          <w:p>
            <w:pPr>
              <w:spacing w:line="240" w:lineRule="exact"/>
              <w:jc w:val="center"/>
              <w:rPr>
                <w:rFonts w:ascii="Times New Roman" w:hAnsi="Times New Roman" w:eastAsia="仿宋_GB2312"/>
                <w:szCs w:val="21"/>
              </w:rPr>
            </w:pPr>
            <w:r>
              <w:rPr>
                <w:rFonts w:ascii="Times New Roman" w:hAnsi="Times New Roman" w:eastAsia="仿宋_GB2312"/>
                <w:szCs w:val="21"/>
              </w:rPr>
              <w:t>全年</w:t>
            </w:r>
          </w:p>
          <w:p>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pPr>
              <w:spacing w:line="240" w:lineRule="exact"/>
              <w:jc w:val="center"/>
              <w:rPr>
                <w:rFonts w:ascii="Times New Roman" w:hAnsi="Times New Roman" w:eastAsia="仿宋_GB2312"/>
                <w:szCs w:val="21"/>
              </w:rPr>
            </w:pPr>
          </w:p>
          <w:p>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pPr>
              <w:spacing w:line="240" w:lineRule="exact"/>
              <w:jc w:val="center"/>
              <w:rPr>
                <w:rFonts w:ascii="Times New Roman" w:hAnsi="Times New Roman" w:eastAsia="仿宋_GB2312"/>
                <w:szCs w:val="21"/>
              </w:rPr>
            </w:pPr>
          </w:p>
          <w:p>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pPr>
              <w:spacing w:line="240" w:lineRule="exact"/>
              <w:jc w:val="center"/>
              <w:rPr>
                <w:rFonts w:ascii="Times New Roman" w:hAnsi="Times New Roman" w:eastAsia="仿宋_GB2312"/>
                <w:szCs w:val="21"/>
              </w:rPr>
            </w:pPr>
          </w:p>
          <w:p>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41.70</w:t>
            </w:r>
          </w:p>
        </w:tc>
        <w:tc>
          <w:tcPr>
            <w:tcW w:w="110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41.70</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 xml:space="preserve"> 41.70</w:t>
            </w:r>
          </w:p>
        </w:tc>
        <w:tc>
          <w:tcPr>
            <w:tcW w:w="110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41.70</w:t>
            </w:r>
          </w:p>
        </w:tc>
        <w:tc>
          <w:tcPr>
            <w:tcW w:w="9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tblPrEx>
          <w:tblCellMar>
            <w:top w:w="0" w:type="dxa"/>
            <w:left w:w="108" w:type="dxa"/>
            <w:bottom w:w="0" w:type="dxa"/>
            <w:right w:w="108" w:type="dxa"/>
          </w:tblCellMar>
        </w:tblPrEx>
        <w:trPr>
          <w:trHeight w:val="610"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both"/>
              <w:rPr>
                <w:rFonts w:hint="eastAsia" w:ascii="Times New Roman" w:hAnsi="Times New Roman" w:eastAsia="仿宋_GB2312"/>
                <w:color w:val="000000"/>
                <w:kern w:val="0"/>
                <w:szCs w:val="21"/>
                <w:lang w:eastAsia="zh-CN"/>
              </w:rPr>
            </w:pPr>
          </w:p>
          <w:p>
            <w:pPr>
              <w:widowControl/>
              <w:jc w:val="center"/>
              <w:rPr>
                <w:rFonts w:hint="eastAsia" w:ascii="仿宋" w:hAnsi="仿宋" w:eastAsia="仿宋" w:cs="仿宋"/>
                <w:color w:val="000000"/>
                <w:kern w:val="0"/>
                <w:szCs w:val="21"/>
                <w:lang w:eastAsia="zh-CN"/>
              </w:rPr>
            </w:pPr>
            <w:r>
              <w:rPr>
                <w:rFonts w:hint="eastAsia" w:ascii="仿宋" w:hAnsi="仿宋" w:eastAsia="仿宋" w:cs="仿宋"/>
                <w:color w:val="000000"/>
                <w:kern w:val="0"/>
                <w:szCs w:val="21"/>
                <w:lang w:eastAsia="zh-CN"/>
              </w:rPr>
              <w:t>辖区桥梁的巡查</w:t>
            </w:r>
          </w:p>
          <w:p>
            <w:pPr>
              <w:widowControl/>
              <w:jc w:val="center"/>
              <w:rPr>
                <w:rFonts w:ascii="Times New Roman" w:hAnsi="Times New Roman" w:eastAsia="仿宋_GB2312"/>
                <w:color w:val="000000"/>
                <w:kern w:val="0"/>
                <w:szCs w:val="21"/>
              </w:rPr>
            </w:pPr>
            <w:r>
              <w:rPr>
                <w:rFonts w:hint="eastAsia" w:ascii="仿宋" w:hAnsi="仿宋" w:eastAsia="仿宋" w:cs="仿宋"/>
                <w:color w:val="000000"/>
                <w:kern w:val="0"/>
                <w:szCs w:val="21"/>
              </w:rPr>
              <w:t>完成危桥改造工程　　</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完成目标</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tblPrEx>
          <w:tblCellMar>
            <w:top w:w="0" w:type="dxa"/>
            <w:left w:w="108" w:type="dxa"/>
            <w:bottom w:w="0" w:type="dxa"/>
            <w:right w:w="108" w:type="dxa"/>
          </w:tblCellMar>
        </w:tblPrEx>
        <w:trPr>
          <w:trHeight w:val="1965"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pPr>
              <w:widowControl/>
              <w:jc w:val="center"/>
              <w:rPr>
                <w:rFonts w:ascii="Times New Roman" w:hAnsi="Times New Roman" w:eastAsia="仿宋_GB2312"/>
                <w:color w:val="000000"/>
                <w:kern w:val="0"/>
                <w:szCs w:val="21"/>
              </w:rPr>
            </w:pP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vMerge w:val="restart"/>
            <w:tcBorders>
              <w:top w:val="single" w:color="auto" w:sz="4" w:space="0"/>
              <w:left w:val="nil"/>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完成投资国省道大中修</w:t>
            </w:r>
          </w:p>
        </w:tc>
        <w:tc>
          <w:tcPr>
            <w:tcW w:w="1230"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覆盖率达到</w:t>
            </w:r>
            <w:r>
              <w:rPr>
                <w:rFonts w:hint="eastAsia" w:ascii="Times New Roman" w:hAnsi="Times New Roman" w:eastAsia="仿宋_GB2312"/>
                <w:color w:val="000000"/>
                <w:kern w:val="0"/>
                <w:szCs w:val="21"/>
                <w:lang w:val="en-US" w:eastAsia="zh-CN"/>
              </w:rPr>
              <w:t>100%</w:t>
            </w:r>
          </w:p>
        </w:tc>
        <w:tc>
          <w:tcPr>
            <w:tcW w:w="1107" w:type="dxa"/>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15</w:t>
            </w:r>
          </w:p>
        </w:tc>
        <w:tc>
          <w:tcPr>
            <w:tcW w:w="855" w:type="dxa"/>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15</w:t>
            </w:r>
          </w:p>
        </w:tc>
        <w:tc>
          <w:tcPr>
            <w:tcW w:w="1271"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1385"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vMerge w:val="restart"/>
            <w:tcBorders>
              <w:top w:val="single" w:color="auto" w:sz="4" w:space="0"/>
              <w:left w:val="nil"/>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国省道路使用性能数、工程监督抽检覆盖率</w:t>
            </w:r>
          </w:p>
        </w:tc>
        <w:tc>
          <w:tcPr>
            <w:tcW w:w="1230"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rPr>
              <w:t>≧</w:t>
            </w:r>
            <w:r>
              <w:rPr>
                <w:rFonts w:hint="eastAsia" w:ascii="Times New Roman" w:hAnsi="Times New Roman" w:eastAsia="仿宋_GB2312"/>
                <w:color w:val="000000"/>
                <w:kern w:val="0"/>
                <w:szCs w:val="21"/>
                <w:lang w:val="en-US" w:eastAsia="zh-CN"/>
              </w:rPr>
              <w:t>100%</w:t>
            </w:r>
          </w:p>
        </w:tc>
        <w:tc>
          <w:tcPr>
            <w:tcW w:w="1107" w:type="dxa"/>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15</w:t>
            </w:r>
          </w:p>
        </w:tc>
        <w:tc>
          <w:tcPr>
            <w:tcW w:w="855" w:type="dxa"/>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15</w:t>
            </w:r>
          </w:p>
        </w:tc>
        <w:tc>
          <w:tcPr>
            <w:tcW w:w="1271"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1025"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政府下达工程按期完成</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2022年任务按期完成</w:t>
            </w:r>
          </w:p>
          <w:p>
            <w:pPr>
              <w:widowControl/>
              <w:jc w:val="center"/>
              <w:rPr>
                <w:rFonts w:ascii="Times New Roman" w:hAnsi="Times New Roman" w:eastAsia="仿宋_GB2312" w:cs="Times New Roman"/>
                <w:color w:val="000000"/>
                <w:kern w:val="0"/>
                <w:sz w:val="21"/>
                <w:szCs w:val="21"/>
                <w:lang w:val="en-US" w:eastAsia="zh-CN" w:bidi="ar-SA"/>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700"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国省道大中修补助标准、农村公路改善提升工程补助标准</w:t>
            </w:r>
          </w:p>
        </w:tc>
        <w:tc>
          <w:tcPr>
            <w:tcW w:w="123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olor w:val="000000"/>
                <w:kern w:val="0"/>
                <w:szCs w:val="21"/>
                <w:lang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eastAsia="zh-CN"/>
              </w:rPr>
              <w:t>不超过下达的预期成本</w:t>
            </w:r>
          </w:p>
          <w:p>
            <w:pPr>
              <w:widowControl/>
              <w:jc w:val="left"/>
              <w:rPr>
                <w:rFonts w:ascii="Times New Roman" w:hAnsi="Times New Roman" w:eastAsia="仿宋_GB2312" w:cs="Times New Roman"/>
                <w:color w:val="000000"/>
                <w:kern w:val="0"/>
                <w:sz w:val="21"/>
                <w:szCs w:val="21"/>
                <w:lang w:val="en-US" w:eastAsia="zh-CN" w:bidi="ar-SA"/>
              </w:rPr>
            </w:pPr>
            <w:r>
              <w:rPr>
                <w:rFonts w:ascii="Times New Roman" w:hAnsi="Times New Roman" w:eastAsia="仿宋_GB2312"/>
                <w:color w:val="000000"/>
                <w:kern w:val="0"/>
                <w:szCs w:val="21"/>
              </w:rPr>
              <w:t>　</w:t>
            </w:r>
          </w:p>
        </w:tc>
        <w:tc>
          <w:tcPr>
            <w:tcW w:w="1107"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eastAsia="zh-CN"/>
              </w:rPr>
              <w:t>没有超过预期成本</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700"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pPr>
              <w:widowControl/>
              <w:jc w:val="left"/>
              <w:rPr>
                <w:rFonts w:ascii="Times New Roman" w:hAnsi="Times New Roman" w:eastAsia="仿宋_GB2312"/>
                <w:color w:val="000000"/>
                <w:kern w:val="0"/>
                <w:szCs w:val="21"/>
              </w:rPr>
            </w:pP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提供就业岗位；增加群众收入</w:t>
            </w:r>
          </w:p>
        </w:tc>
        <w:tc>
          <w:tcPr>
            <w:tcW w:w="1230"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有效促进</w:t>
            </w:r>
          </w:p>
        </w:tc>
        <w:tc>
          <w:tcPr>
            <w:tcW w:w="1107"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p>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有效执行</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855"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p>
            <w:pPr>
              <w:widowControl/>
              <w:jc w:val="center"/>
              <w:rPr>
                <w:rFonts w:ascii="Times New Roman" w:hAnsi="Times New Roman" w:eastAsia="仿宋_GB2312" w:cs="Times New Roman"/>
                <w:color w:val="000000"/>
                <w:kern w:val="0"/>
                <w:sz w:val="21"/>
                <w:szCs w:val="21"/>
                <w:lang w:val="en-US" w:eastAsia="zh-CN" w:bidi="ar-SA"/>
              </w:rPr>
            </w:pPr>
          </w:p>
        </w:tc>
        <w:tc>
          <w:tcPr>
            <w:tcW w:w="1271" w:type="dxa"/>
            <w:tcBorders>
              <w:top w:val="single" w:color="auto" w:sz="4" w:space="0"/>
              <w:left w:val="nil"/>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800"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vMerge w:val="restart"/>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交通基础设施网络</w:t>
            </w:r>
          </w:p>
        </w:tc>
        <w:tc>
          <w:tcPr>
            <w:tcW w:w="1230" w:type="dxa"/>
            <w:tcBorders>
              <w:top w:val="single" w:color="auto" w:sz="4" w:space="0"/>
              <w:left w:val="nil"/>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构建外畅内联、结构合理、安全高效公路网</w:t>
            </w:r>
          </w:p>
        </w:tc>
        <w:tc>
          <w:tcPr>
            <w:tcW w:w="1107"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有效促进</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nil"/>
              <w:right w:val="single" w:color="auto" w:sz="4" w:space="0"/>
            </w:tcBorders>
            <w:shd w:val="clear" w:color="auto" w:fill="auto"/>
            <w:noWrap/>
            <w:vAlign w:val="center"/>
          </w:tcPr>
          <w:p>
            <w:pPr>
              <w:widowControl/>
              <w:ind w:firstLine="420" w:firstLineChars="200"/>
              <w:jc w:val="center"/>
              <w:rPr>
                <w:rFonts w:hint="eastAsia" w:ascii="Times New Roman" w:hAnsi="Times New Roman" w:eastAsia="仿宋_GB2312"/>
                <w:color w:val="000000"/>
                <w:kern w:val="0"/>
                <w:szCs w:val="21"/>
                <w:lang w:val="en-US" w:eastAsia="zh-CN"/>
              </w:rPr>
            </w:pPr>
          </w:p>
          <w:p>
            <w:pPr>
              <w:widowControl/>
              <w:ind w:firstLine="210" w:firstLineChars="100"/>
              <w:jc w:val="both"/>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855"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700" w:hRule="atLeast"/>
          <w:jc w:val="center"/>
        </w:trPr>
        <w:tc>
          <w:tcPr>
            <w:tcW w:w="1135" w:type="dxa"/>
            <w:vMerge w:val="continue"/>
            <w:tcBorders>
              <w:left w:val="single" w:color="auto" w:sz="4" w:space="0"/>
              <w:right w:val="single" w:color="auto" w:sz="4" w:space="0"/>
            </w:tcBorders>
            <w:shd w:val="clear" w:color="auto" w:fill="auto"/>
            <w:noWrap/>
            <w:vAlign w:val="center"/>
          </w:tcPr>
          <w:p>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绿色交通</w:t>
            </w:r>
          </w:p>
        </w:tc>
        <w:tc>
          <w:tcPr>
            <w:tcW w:w="1230" w:type="dxa"/>
            <w:vMerge w:val="restart"/>
            <w:tcBorders>
              <w:top w:val="single" w:color="auto" w:sz="4" w:space="0"/>
              <w:left w:val="single" w:color="auto" w:sz="4" w:space="0"/>
              <w:right w:val="single" w:color="auto" w:sz="4" w:space="0"/>
            </w:tcBorders>
            <w:shd w:val="clear" w:color="auto" w:fill="auto"/>
            <w:noWrap/>
            <w:vAlign w:val="center"/>
          </w:tcPr>
          <w:p>
            <w:pPr>
              <w:widowControl/>
              <w:jc w:val="both"/>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建设资源节约、生态环保、节能高效</w:t>
            </w:r>
          </w:p>
        </w:tc>
        <w:tc>
          <w:tcPr>
            <w:tcW w:w="1107" w:type="dxa"/>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有效执行</w:t>
            </w:r>
          </w:p>
        </w:tc>
        <w:tc>
          <w:tcPr>
            <w:tcW w:w="993" w:type="dxa"/>
            <w:tcBorders>
              <w:top w:val="single" w:color="auto" w:sz="4" w:space="0"/>
              <w:left w:val="single" w:color="auto" w:sz="4" w:space="0"/>
              <w:right w:val="single" w:color="auto" w:sz="4" w:space="0"/>
            </w:tcBorders>
            <w:shd w:val="clear" w:color="auto" w:fill="auto"/>
            <w:noWrap/>
            <w:vAlign w:val="center"/>
          </w:tcPr>
          <w:p>
            <w:pPr>
              <w:widowControl/>
              <w:ind w:firstLine="420" w:firstLineChars="200"/>
              <w:jc w:val="center"/>
              <w:rPr>
                <w:rFonts w:hint="eastAsia" w:ascii="Times New Roman" w:hAnsi="Times New Roman" w:eastAsia="仿宋_GB2312"/>
                <w:color w:val="000000"/>
                <w:kern w:val="0"/>
                <w:szCs w:val="21"/>
                <w:lang w:val="en-US" w:eastAsia="zh-CN"/>
              </w:rPr>
            </w:pPr>
          </w:p>
          <w:p>
            <w:pPr>
              <w:widowControl/>
              <w:ind w:firstLine="210" w:firstLineChars="100"/>
              <w:jc w:val="both"/>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5</w:t>
            </w:r>
          </w:p>
        </w:tc>
        <w:tc>
          <w:tcPr>
            <w:tcW w:w="855" w:type="dxa"/>
            <w:tcBorders>
              <w:top w:val="single" w:color="auto" w:sz="4" w:space="0"/>
              <w:left w:val="nil"/>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800" w:hRule="atLeast"/>
          <w:jc w:val="center"/>
        </w:trPr>
        <w:tc>
          <w:tcPr>
            <w:tcW w:w="1135" w:type="dxa"/>
            <w:vMerge w:val="continue"/>
            <w:tcBorders>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tc>
        <w:tc>
          <w:tcPr>
            <w:tcW w:w="992" w:type="dxa"/>
            <w:vMerge w:val="continue"/>
            <w:tcBorders>
              <w:left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长期对公路养护</w:t>
            </w:r>
          </w:p>
        </w:tc>
        <w:tc>
          <w:tcPr>
            <w:tcW w:w="123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长期对管辖内公路巡查</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eastAsia="zh-CN"/>
              </w:rPr>
            </w:pPr>
            <w:r>
              <w:rPr>
                <w:rFonts w:hint="eastAsia" w:ascii="Times New Roman" w:hAnsi="Times New Roman" w:eastAsia="仿宋_GB2312"/>
                <w:color w:val="000000"/>
                <w:kern w:val="0"/>
                <w:szCs w:val="21"/>
                <w:lang w:eastAsia="zh-CN"/>
              </w:rPr>
              <w:t>长期执行</w:t>
            </w:r>
          </w:p>
          <w:p>
            <w:pPr>
              <w:widowControl/>
              <w:jc w:val="center"/>
              <w:rPr>
                <w:rFonts w:ascii="Times New Roman" w:hAnsi="Times New Roman" w:eastAsia="仿宋_GB2312" w:cs="Times New Roman"/>
                <w:color w:val="000000"/>
                <w:kern w:val="0"/>
                <w:sz w:val="21"/>
                <w:szCs w:val="21"/>
                <w:lang w:val="en-US" w:eastAsia="zh-CN" w:bidi="ar-SA"/>
              </w:rPr>
            </w:pP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5</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5</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836" w:hRule="atLeast"/>
          <w:jc w:val="center"/>
        </w:trPr>
        <w:tc>
          <w:tcPr>
            <w:tcW w:w="1135" w:type="dxa"/>
            <w:vMerge w:val="continue"/>
            <w:tcBorders>
              <w:left w:val="single" w:color="auto" w:sz="4" w:space="0"/>
              <w:right w:val="single" w:color="auto" w:sz="4" w:space="0"/>
            </w:tcBorders>
            <w:shd w:val="clear" w:color="auto" w:fill="auto"/>
            <w:noWrap/>
            <w:vAlign w:val="center"/>
          </w:tcPr>
          <w:p>
            <w:pPr>
              <w:jc w:val="left"/>
              <w:rPr>
                <w:rFonts w:ascii="Times New Roman" w:hAnsi="Times New Roman" w:eastAsia="仿宋_GB2312"/>
                <w:color w:val="000000"/>
                <w:kern w:val="0"/>
                <w:szCs w:val="21"/>
              </w:rPr>
            </w:pPr>
          </w:p>
        </w:tc>
        <w:tc>
          <w:tcPr>
            <w:tcW w:w="992" w:type="dxa"/>
            <w:tcBorders>
              <w:top w:val="nil"/>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nil"/>
              <w:left w:val="nil"/>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eastAsia="zh-CN"/>
              </w:rPr>
              <w:t>公众满意度</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p>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rPr>
              <w:t>≧</w:t>
            </w:r>
            <w:r>
              <w:rPr>
                <w:rFonts w:hint="eastAsia" w:ascii="Times New Roman" w:hAnsi="Times New Roman" w:eastAsia="仿宋_GB2312"/>
                <w:color w:val="000000"/>
                <w:kern w:val="0"/>
                <w:szCs w:val="21"/>
                <w:lang w:val="en-US" w:eastAsia="zh-CN"/>
              </w:rPr>
              <w:t>95%</w:t>
            </w:r>
          </w:p>
        </w:tc>
        <w:tc>
          <w:tcPr>
            <w:tcW w:w="110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Times New Roman" w:hAnsi="Times New Roman" w:eastAsia="仿宋_GB2312"/>
                <w:color w:val="000000"/>
                <w:kern w:val="0"/>
                <w:szCs w:val="21"/>
                <w:lang w:val="en-US" w:eastAsia="zh-CN"/>
              </w:rPr>
            </w:pPr>
          </w:p>
          <w:p>
            <w:pPr>
              <w:widowControl/>
              <w:jc w:val="center"/>
              <w:rPr>
                <w:rFonts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rPr>
              <w:t>≧</w:t>
            </w:r>
            <w:r>
              <w:rPr>
                <w:rFonts w:hint="eastAsia" w:ascii="Times New Roman" w:hAnsi="Times New Roman" w:eastAsia="仿宋_GB2312"/>
                <w:color w:val="000000"/>
                <w:kern w:val="0"/>
                <w:szCs w:val="21"/>
                <w:lang w:val="en-US" w:eastAsia="zh-CN"/>
              </w:rPr>
              <w:t>95%</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olor w:val="000000"/>
                <w:kern w:val="0"/>
                <w:szCs w:val="21"/>
                <w:lang w:val="en-US" w:eastAsia="zh-CN"/>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pPr>
        <w:jc w:val="left"/>
        <w:rPr>
          <w:rFonts w:ascii="Times New Roman" w:hAnsi="Times New Roman" w:eastAsia="仿宋_GB2312"/>
          <w:sz w:val="24"/>
        </w:rPr>
      </w:pPr>
    </w:p>
    <w:p>
      <w:pPr>
        <w:jc w:val="left"/>
        <w:rPr>
          <w:rFonts w:hint="eastAsia" w:ascii="Times New Roman" w:hAnsi="Times New Roman" w:eastAsia="仿宋_GB2312" w:cs="Times New Roman"/>
          <w:sz w:val="24"/>
          <w:lang w:val="en-US" w:eastAsia="zh-CN"/>
        </w:rPr>
      </w:pPr>
      <w:r>
        <w:rPr>
          <w:rFonts w:ascii="Times New Roman" w:hAnsi="Times New Roman" w:eastAsia="仿宋_GB2312"/>
          <w:sz w:val="24"/>
        </w:rPr>
        <w:t>填表人：</w:t>
      </w:r>
      <w:r>
        <w:rPr>
          <w:rFonts w:hint="eastAsia" w:ascii="Times New Roman" w:hAnsi="Times New Roman" w:eastAsia="仿宋_GB2312"/>
          <w:sz w:val="24"/>
          <w:lang w:eastAsia="zh-CN"/>
        </w:rPr>
        <w:t>谢慧子</w:t>
      </w:r>
      <w:r>
        <w:rPr>
          <w:rFonts w:ascii="Times New Roman" w:hAnsi="Times New Roman" w:eastAsia="仿宋_GB2312"/>
          <w:sz w:val="24"/>
        </w:rPr>
        <w:t xml:space="preserve">   </w:t>
      </w:r>
      <w:r>
        <w:rPr>
          <w:rFonts w:hint="eastAsia" w:ascii="Times New Roman" w:hAnsi="Times New Roman" w:eastAsia="仿宋_GB2312"/>
          <w:sz w:val="24"/>
          <w:lang w:val="en-US" w:eastAsia="zh-CN"/>
        </w:rPr>
        <w:t xml:space="preserve">     </w:t>
      </w:r>
      <w:r>
        <w:rPr>
          <w:rFonts w:ascii="Times New Roman" w:hAnsi="Times New Roman" w:eastAsia="仿宋_GB2312"/>
          <w:sz w:val="24"/>
        </w:rPr>
        <w:t>填报日期：</w:t>
      </w:r>
      <w:r>
        <w:rPr>
          <w:rFonts w:hint="eastAsia" w:ascii="Times New Roman" w:hAnsi="Times New Roman" w:eastAsia="仿宋_GB2312"/>
          <w:sz w:val="24"/>
          <w:lang w:val="en-US" w:eastAsia="zh-CN"/>
        </w:rPr>
        <w:t>2023.03.31</w:t>
      </w:r>
      <w:r>
        <w:rPr>
          <w:rFonts w:ascii="Times New Roman" w:hAnsi="Times New Roman" w:eastAsia="仿宋_GB2312"/>
          <w:sz w:val="24"/>
        </w:rPr>
        <w:t xml:space="preserve">  </w:t>
      </w:r>
      <w:r>
        <w:rPr>
          <w:rFonts w:hint="eastAsia" w:ascii="Times New Roman" w:hAnsi="Times New Roman" w:eastAsia="仿宋_GB2312"/>
          <w:sz w:val="24"/>
          <w:lang w:val="en-US" w:eastAsia="zh-CN"/>
        </w:rPr>
        <w:t xml:space="preserve">     </w:t>
      </w:r>
      <w:r>
        <w:rPr>
          <w:rFonts w:ascii="Times New Roman" w:hAnsi="Times New Roman" w:eastAsia="仿宋_GB2312"/>
          <w:sz w:val="24"/>
        </w:rPr>
        <w:t>联系电话：</w:t>
      </w:r>
      <w:r>
        <w:rPr>
          <w:rFonts w:hint="eastAsia" w:ascii="Times New Roman" w:hAnsi="Times New Roman" w:eastAsia="仿宋_GB2312" w:cs="Times New Roman"/>
          <w:sz w:val="24"/>
          <w:lang w:val="en-US" w:eastAsia="zh-CN"/>
        </w:rPr>
        <w:t>17507479664</w:t>
      </w:r>
    </w:p>
    <w:p>
      <w:pPr>
        <w:jc w:val="left"/>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 xml:space="preserve"> </w:t>
      </w:r>
    </w:p>
    <w:p>
      <w:pPr>
        <w:jc w:val="left"/>
        <w:rPr>
          <w:rFonts w:hint="eastAsia" w:ascii="Times New Roman" w:hAnsi="Times New Roman" w:eastAsia="仿宋_GB2312"/>
          <w:sz w:val="32"/>
          <w:szCs w:val="32"/>
          <w:lang w:eastAsia="zh-CN"/>
        </w:rPr>
      </w:pPr>
      <w:r>
        <w:rPr>
          <w:rFonts w:ascii="Times New Roman" w:hAnsi="Times New Roman" w:eastAsia="仿宋_GB2312"/>
          <w:sz w:val="24"/>
        </w:rPr>
        <w:t>单位负责人签字：</w:t>
      </w:r>
      <w:r>
        <w:rPr>
          <w:rFonts w:hint="eastAsia" w:ascii="Times New Roman" w:hAnsi="Times New Roman" w:eastAsia="仿宋_GB2312"/>
          <w:sz w:val="24"/>
          <w:lang w:eastAsia="zh-CN"/>
        </w:rPr>
        <w:t>陈述</w:t>
      </w: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spacing w:line="600" w:lineRule="exact"/>
        <w:jc w:val="center"/>
        <w:rPr>
          <w:rFonts w:ascii="Times New Roman" w:hAnsi="Times New Roman" w:eastAsia="仿宋_GB2312"/>
          <w:sz w:val="32"/>
          <w:szCs w:val="32"/>
        </w:rPr>
      </w:pPr>
      <w:r>
        <w:rPr>
          <w:rFonts w:hint="eastAsia" w:ascii="方正小标宋简体" w:hAnsi="方正小标宋简体" w:eastAsia="方正小标宋简体" w:cs="方正小标宋简体"/>
          <w:sz w:val="44"/>
          <w:szCs w:val="44"/>
        </w:rPr>
        <w:t>项目支出绩效自评报告</w:t>
      </w:r>
    </w:p>
    <w:p>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一、项目支出概况</w:t>
      </w:r>
    </w:p>
    <w:p>
      <w:pPr>
        <w:spacing w:line="520" w:lineRule="exact"/>
        <w:ind w:firstLine="560"/>
        <w:rPr>
          <w:rFonts w:hint="default" w:ascii="仿宋" w:hAnsi="仿宋" w:eastAsia="仿宋" w:cs="仿宋_GB2312"/>
          <w:kern w:val="1"/>
          <w:sz w:val="32"/>
          <w:szCs w:val="32"/>
          <w:lang w:val="en-US" w:eastAsia="zh-CN"/>
        </w:rPr>
      </w:pPr>
      <w:r>
        <w:rPr>
          <w:rFonts w:hint="eastAsia" w:ascii="仿宋" w:hAnsi="仿宋" w:eastAsia="仿宋" w:cs="仿宋_GB2312"/>
          <w:kern w:val="1"/>
          <w:sz w:val="32"/>
          <w:szCs w:val="32"/>
        </w:rPr>
        <w:t>项目支出：公路养护</w:t>
      </w:r>
      <w:r>
        <w:rPr>
          <w:rFonts w:hint="eastAsia" w:ascii="仿宋" w:hAnsi="仿宋" w:eastAsia="仿宋" w:cs="仿宋_GB2312"/>
          <w:kern w:val="1"/>
          <w:sz w:val="32"/>
          <w:szCs w:val="32"/>
          <w:lang w:val="en-US" w:eastAsia="zh-CN"/>
        </w:rPr>
        <w:t>260.95万元,</w:t>
      </w:r>
      <w:r>
        <w:rPr>
          <w:rFonts w:hint="eastAsia" w:ascii="仿宋" w:hAnsi="仿宋" w:eastAsia="仿宋" w:cs="仿宋_GB2312"/>
          <w:kern w:val="1"/>
          <w:sz w:val="32"/>
          <w:szCs w:val="32"/>
          <w:lang w:eastAsia="zh-CN"/>
        </w:rPr>
        <w:t>农村公路生命安全防护工程</w:t>
      </w:r>
      <w:r>
        <w:rPr>
          <w:rFonts w:hint="eastAsia" w:ascii="仿宋" w:hAnsi="仿宋" w:eastAsia="仿宋" w:cs="仿宋_GB2312"/>
          <w:kern w:val="1"/>
          <w:sz w:val="32"/>
          <w:szCs w:val="32"/>
          <w:lang w:val="en-US" w:eastAsia="zh-CN"/>
        </w:rPr>
        <w:t>188.17万元，危桥改造41.70万元。</w:t>
      </w:r>
    </w:p>
    <w:p>
      <w:pPr>
        <w:numPr>
          <w:ilvl w:val="0"/>
          <w:numId w:val="0"/>
        </w:numPr>
        <w:adjustRightInd w:val="0"/>
        <w:snapToGrid w:val="0"/>
        <w:spacing w:line="600" w:lineRule="exact"/>
        <w:ind w:leftChars="200" w:firstLine="320" w:firstLineChars="100"/>
        <w:rPr>
          <w:rFonts w:ascii="Times New Roman" w:hAnsi="Times New Roman" w:eastAsia="黑体"/>
          <w:sz w:val="32"/>
          <w:szCs w:val="32"/>
        </w:rPr>
      </w:pPr>
      <w:r>
        <w:rPr>
          <w:rFonts w:hint="eastAsia" w:ascii="Times New Roman" w:hAnsi="Times New Roman" w:eastAsia="黑体"/>
          <w:sz w:val="32"/>
          <w:szCs w:val="32"/>
          <w:lang w:eastAsia="zh-CN"/>
        </w:rPr>
        <w:t>二、</w:t>
      </w:r>
      <w:r>
        <w:rPr>
          <w:rFonts w:ascii="Times New Roman" w:hAnsi="Times New Roman" w:eastAsia="黑体"/>
          <w:sz w:val="32"/>
          <w:szCs w:val="32"/>
        </w:rPr>
        <w:t>项目资金使用及管理情况</w:t>
      </w:r>
    </w:p>
    <w:p>
      <w:pPr>
        <w:numPr>
          <w:ilvl w:val="0"/>
          <w:numId w:val="0"/>
        </w:numPr>
        <w:adjustRightInd w:val="0"/>
        <w:snapToGrid w:val="0"/>
        <w:spacing w:line="600" w:lineRule="exact"/>
        <w:ind w:firstLine="960" w:firstLineChars="300"/>
        <w:rPr>
          <w:rFonts w:hint="eastAsia" w:ascii="宋体" w:hAnsi="宋体" w:cs="宋体"/>
          <w:sz w:val="32"/>
          <w:szCs w:val="32"/>
          <w:lang w:val="en-US" w:eastAsia="zh-CN"/>
        </w:rPr>
      </w:pPr>
      <w:r>
        <w:rPr>
          <w:rFonts w:hint="eastAsia" w:ascii="Times New Roman" w:hAnsi="Times New Roman" w:eastAsia="仿宋_GB2312"/>
          <w:sz w:val="32"/>
          <w:szCs w:val="32"/>
          <w:lang w:eastAsia="zh-CN"/>
        </w:rPr>
        <w:t>（一）</w:t>
      </w:r>
      <w:r>
        <w:rPr>
          <w:rFonts w:ascii="Times New Roman" w:hAnsi="Times New Roman" w:eastAsia="仿宋_GB2312"/>
          <w:sz w:val="32"/>
          <w:szCs w:val="32"/>
        </w:rPr>
        <w:t>项目资金的安排落实、总投入等情况。</w:t>
      </w:r>
    </w:p>
    <w:p>
      <w:pPr>
        <w:numPr>
          <w:ilvl w:val="0"/>
          <w:numId w:val="0"/>
        </w:num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
          <w:sz w:val="32"/>
          <w:szCs w:val="32"/>
          <w:lang w:val="en-US" w:eastAsia="zh-CN"/>
        </w:rPr>
        <w:t>1.公</w:t>
      </w:r>
      <w:r>
        <w:rPr>
          <w:rFonts w:hint="eastAsia" w:ascii="仿宋" w:hAnsi="仿宋" w:eastAsia="仿宋" w:cs="仿宋_GB2312"/>
          <w:kern w:val="1"/>
          <w:sz w:val="32"/>
          <w:szCs w:val="32"/>
          <w:lang w:val="en-US" w:eastAsia="zh-CN"/>
        </w:rPr>
        <w:t>路养护2022年</w:t>
      </w:r>
      <w:r>
        <w:rPr>
          <w:rFonts w:hint="eastAsia" w:ascii="仿宋" w:hAnsi="仿宋" w:eastAsia="仿宋" w:cs="仿宋_GB2312"/>
          <w:kern w:val="1"/>
          <w:sz w:val="32"/>
          <w:szCs w:val="32"/>
          <w:lang w:eastAsia="zh-CN"/>
        </w:rPr>
        <w:t>计划总投资</w:t>
      </w:r>
      <w:r>
        <w:rPr>
          <w:rFonts w:hint="eastAsia" w:ascii="仿宋" w:hAnsi="仿宋" w:eastAsia="仿宋" w:cs="仿宋_GB2312"/>
          <w:kern w:val="1"/>
          <w:sz w:val="32"/>
          <w:szCs w:val="32"/>
          <w:lang w:val="en-US" w:eastAsia="zh-CN"/>
        </w:rPr>
        <w:t>260.95万元，项目资金到位260.95万元，已支付使用260.95万元，其中上年结转资金支付了141.19万元；当年市财政支付了119.76万元。</w:t>
      </w:r>
    </w:p>
    <w:p>
      <w:pPr>
        <w:numPr>
          <w:ilvl w:val="0"/>
          <w:numId w:val="0"/>
        </w:num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_GB2312"/>
          <w:kern w:val="1"/>
          <w:sz w:val="32"/>
          <w:szCs w:val="32"/>
          <w:lang w:eastAsia="zh-CN"/>
        </w:rPr>
        <w:t>农村公路生命安全防护工程</w:t>
      </w:r>
      <w:r>
        <w:rPr>
          <w:rFonts w:hint="eastAsia" w:ascii="仿宋" w:hAnsi="仿宋" w:eastAsia="仿宋" w:cs="仿宋"/>
          <w:sz w:val="32"/>
          <w:szCs w:val="32"/>
          <w:lang w:val="en-US" w:eastAsia="zh-CN"/>
        </w:rPr>
        <w:t>2022</w:t>
      </w:r>
      <w:r>
        <w:rPr>
          <w:rFonts w:hint="eastAsia" w:ascii="仿宋" w:hAnsi="仿宋" w:eastAsia="仿宋" w:cs="仿宋_GB2312"/>
          <w:kern w:val="1"/>
          <w:sz w:val="32"/>
          <w:szCs w:val="32"/>
          <w:lang w:val="en-US" w:eastAsia="zh-CN"/>
        </w:rPr>
        <w:t>年</w:t>
      </w:r>
      <w:r>
        <w:rPr>
          <w:rFonts w:hint="eastAsia" w:ascii="仿宋" w:hAnsi="仿宋" w:eastAsia="仿宋" w:cs="仿宋_GB2312"/>
          <w:kern w:val="1"/>
          <w:sz w:val="32"/>
          <w:szCs w:val="32"/>
          <w:lang w:eastAsia="zh-CN"/>
        </w:rPr>
        <w:t>计划总投资</w:t>
      </w:r>
      <w:r>
        <w:rPr>
          <w:rFonts w:hint="eastAsia" w:ascii="仿宋" w:hAnsi="仿宋" w:eastAsia="仿宋" w:cs="仿宋_GB2312"/>
          <w:kern w:val="1"/>
          <w:sz w:val="32"/>
          <w:szCs w:val="32"/>
          <w:lang w:val="en-US" w:eastAsia="zh-CN"/>
        </w:rPr>
        <w:t>188.17万元，项目资金到位188.17万元，已支付使用188.17万元，其中上年结转资金支付了106.41万元；当年市财政支付了81.76万元。</w:t>
      </w:r>
    </w:p>
    <w:p>
      <w:pPr>
        <w:numPr>
          <w:ilvl w:val="0"/>
          <w:numId w:val="0"/>
        </w:num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
          <w:sz w:val="32"/>
          <w:szCs w:val="32"/>
          <w:lang w:val="en-US" w:eastAsia="zh-CN"/>
        </w:rPr>
        <w:t>3.</w:t>
      </w:r>
      <w:r>
        <w:rPr>
          <w:rFonts w:hint="eastAsia" w:ascii="仿宋" w:hAnsi="仿宋" w:eastAsia="仿宋" w:cs="仿宋_GB2312"/>
          <w:kern w:val="1"/>
          <w:sz w:val="32"/>
          <w:szCs w:val="32"/>
          <w:lang w:val="en-US" w:eastAsia="zh-CN"/>
        </w:rPr>
        <w:t>危桥改造2022年</w:t>
      </w:r>
      <w:r>
        <w:rPr>
          <w:rFonts w:hint="eastAsia" w:ascii="仿宋" w:hAnsi="仿宋" w:eastAsia="仿宋" w:cs="仿宋_GB2312"/>
          <w:kern w:val="1"/>
          <w:sz w:val="32"/>
          <w:szCs w:val="32"/>
          <w:lang w:eastAsia="zh-CN"/>
        </w:rPr>
        <w:t>计划总投资</w:t>
      </w:r>
      <w:r>
        <w:rPr>
          <w:rFonts w:hint="eastAsia" w:ascii="仿宋" w:hAnsi="仿宋" w:eastAsia="仿宋" w:cs="仿宋_GB2312"/>
          <w:kern w:val="1"/>
          <w:sz w:val="32"/>
          <w:szCs w:val="32"/>
          <w:lang w:val="en-US" w:eastAsia="zh-CN"/>
        </w:rPr>
        <w:t>41.70万元，项目资金到位41.70万元，已支付使用41.70万元，全部来源于当年市财政拨款。</w:t>
      </w:r>
    </w:p>
    <w:p>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（二）项目资金实际使用情况。</w:t>
      </w:r>
    </w:p>
    <w:p>
      <w:pPr>
        <w:adjustRightInd w:val="0"/>
        <w:snapToGrid w:val="0"/>
        <w:spacing w:line="600" w:lineRule="exact"/>
        <w:ind w:firstLine="640" w:firstLineChars="200"/>
        <w:rPr>
          <w:rFonts w:hint="eastAsia" w:ascii="仿宋" w:hAnsi="仿宋" w:eastAsia="仿宋" w:cs="仿宋_GB2312"/>
          <w:kern w:val="1"/>
          <w:sz w:val="32"/>
          <w:szCs w:val="32"/>
          <w:lang w:val="en-US" w:eastAsia="zh-CN"/>
        </w:rPr>
      </w:pPr>
      <w:r>
        <w:rPr>
          <w:rFonts w:hint="eastAsia" w:ascii="Times New Roman" w:hAnsi="Times New Roman" w:eastAsia="仿宋_GB2312"/>
          <w:sz w:val="32"/>
          <w:szCs w:val="32"/>
          <w:lang w:val="en-US" w:eastAsia="zh-CN"/>
        </w:rPr>
        <w:t>1.公路养护：项目全年预算数</w:t>
      </w:r>
      <w:r>
        <w:rPr>
          <w:rFonts w:hint="eastAsia" w:ascii="仿宋" w:hAnsi="仿宋" w:eastAsia="仿宋" w:cs="仿宋_GB2312"/>
          <w:kern w:val="1"/>
          <w:sz w:val="32"/>
          <w:szCs w:val="32"/>
          <w:lang w:val="en-US" w:eastAsia="zh-CN"/>
        </w:rPr>
        <w:t>260.95万元，执行数260.95万元，执行率100%。</w:t>
      </w:r>
    </w:p>
    <w:p>
      <w:pPr>
        <w:adjustRightInd w:val="0"/>
        <w:snapToGrid w:val="0"/>
        <w:spacing w:line="600" w:lineRule="exact"/>
        <w:ind w:firstLine="640" w:firstLineChars="200"/>
        <w:rPr>
          <w:rFonts w:hint="eastAsia" w:ascii="仿宋" w:hAnsi="仿宋" w:eastAsia="仿宋" w:cs="仿宋_GB2312"/>
          <w:kern w:val="1"/>
          <w:sz w:val="32"/>
          <w:szCs w:val="32"/>
          <w:lang w:val="en-US" w:eastAsia="zh-CN"/>
        </w:rPr>
      </w:pPr>
      <w:r>
        <w:rPr>
          <w:rFonts w:hint="eastAsia" w:ascii="Times New Roman" w:hAnsi="Times New Roman" w:eastAsia="仿宋_GB2312"/>
          <w:sz w:val="32"/>
          <w:szCs w:val="32"/>
          <w:lang w:val="en-US" w:eastAsia="zh-CN"/>
        </w:rPr>
        <w:t>2.</w:t>
      </w:r>
      <w:r>
        <w:rPr>
          <w:rFonts w:hint="eastAsia" w:ascii="仿宋" w:hAnsi="仿宋" w:eastAsia="仿宋" w:cs="仿宋_GB2312"/>
          <w:kern w:val="1"/>
          <w:sz w:val="32"/>
          <w:szCs w:val="32"/>
          <w:lang w:eastAsia="zh-CN"/>
        </w:rPr>
        <w:t>农村公路生命安全防护工程</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188.17万元，执行数188.17万元，执行率100%。</w:t>
      </w:r>
    </w:p>
    <w:p>
      <w:pPr>
        <w:numPr>
          <w:ilvl w:val="0"/>
          <w:numId w:val="0"/>
        </w:numPr>
        <w:adjustRightInd w:val="0"/>
        <w:snapToGrid w:val="0"/>
        <w:spacing w:line="600" w:lineRule="exact"/>
        <w:rPr>
          <w:rFonts w:hint="default" w:ascii="仿宋" w:hAnsi="仿宋" w:eastAsia="仿宋" w:cs="仿宋_GB2312"/>
          <w:kern w:val="1"/>
          <w:sz w:val="32"/>
          <w:szCs w:val="32"/>
          <w:lang w:val="en-US" w:eastAsia="zh-CN"/>
        </w:rPr>
      </w:pPr>
      <w:r>
        <w:rPr>
          <w:rFonts w:hint="eastAsia" w:ascii="宋体" w:hAnsi="宋体" w:cs="宋体"/>
          <w:kern w:val="0"/>
          <w:sz w:val="32"/>
          <w:szCs w:val="32"/>
          <w:lang w:val="en-US" w:eastAsia="zh-CN"/>
        </w:rPr>
        <w:t xml:space="preserve">    3</w:t>
      </w:r>
      <w:r>
        <w:rPr>
          <w:rFonts w:hint="eastAsia" w:ascii="Times New Roman" w:hAnsi="Times New Roman" w:eastAsia="仿宋_GB2312"/>
          <w:sz w:val="32"/>
          <w:szCs w:val="32"/>
          <w:lang w:val="en-US" w:eastAsia="zh-CN"/>
        </w:rPr>
        <w:t>.危桥改造：项目全年预算数</w:t>
      </w:r>
      <w:r>
        <w:rPr>
          <w:rFonts w:hint="eastAsia" w:ascii="仿宋" w:hAnsi="仿宋" w:eastAsia="仿宋" w:cs="仿宋_GB2312"/>
          <w:kern w:val="1"/>
          <w:sz w:val="32"/>
          <w:szCs w:val="32"/>
          <w:lang w:val="en-US" w:eastAsia="zh-CN"/>
        </w:rPr>
        <w:t>41.70万元，执行数41.70万元，执行率100%。</w:t>
      </w:r>
    </w:p>
    <w:p>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（三）项目资金管理情况分析。</w:t>
      </w:r>
    </w:p>
    <w:p>
      <w:pPr>
        <w:spacing w:line="520" w:lineRule="exact"/>
        <w:ind w:firstLine="560"/>
        <w:rPr>
          <w:rFonts w:hint="eastAsia" w:ascii="仿宋" w:hAnsi="仿宋" w:eastAsia="仿宋" w:cs="仿宋_GB2312"/>
          <w:kern w:val="1"/>
          <w:sz w:val="32"/>
          <w:szCs w:val="32"/>
          <w:lang w:eastAsia="zh-CN"/>
        </w:rPr>
      </w:pPr>
      <w:r>
        <w:rPr>
          <w:rFonts w:hint="eastAsia" w:ascii="仿宋" w:hAnsi="仿宋" w:eastAsia="仿宋" w:cs="仿宋_GB2312"/>
          <w:kern w:val="1"/>
          <w:sz w:val="32"/>
          <w:szCs w:val="32"/>
        </w:rPr>
        <w:t>项目资金管理由</w:t>
      </w:r>
      <w:r>
        <w:rPr>
          <w:rFonts w:hint="eastAsia" w:ascii="仿宋" w:hAnsi="仿宋" w:eastAsia="仿宋" w:cs="仿宋_GB2312"/>
          <w:kern w:val="1"/>
          <w:sz w:val="32"/>
          <w:szCs w:val="32"/>
          <w:lang w:eastAsia="zh-CN"/>
        </w:rPr>
        <w:t>衡阳市公路建设养护中心</w:t>
      </w:r>
      <w:r>
        <w:rPr>
          <w:rFonts w:hint="eastAsia" w:ascii="仿宋" w:hAnsi="仿宋" w:eastAsia="仿宋" w:cs="仿宋_GB2312"/>
          <w:kern w:val="1"/>
          <w:sz w:val="32"/>
          <w:szCs w:val="32"/>
        </w:rPr>
        <w:t>雁峰分中心负责，项目预期目标已完成</w:t>
      </w:r>
      <w:r>
        <w:rPr>
          <w:rFonts w:hint="eastAsia" w:ascii="仿宋" w:hAnsi="仿宋" w:eastAsia="仿宋" w:cs="仿宋_GB2312"/>
          <w:kern w:val="1"/>
          <w:sz w:val="32"/>
          <w:szCs w:val="32"/>
          <w:lang w:eastAsia="zh-CN"/>
        </w:rPr>
        <w:t>，</w:t>
      </w:r>
      <w:r>
        <w:rPr>
          <w:rFonts w:hint="eastAsia" w:ascii="仿宋" w:hAnsi="仿宋" w:eastAsia="仿宋" w:cs="仿宋_GB2312"/>
          <w:kern w:val="1"/>
          <w:sz w:val="32"/>
          <w:szCs w:val="32"/>
        </w:rPr>
        <w:t>严格执行财政预算安排，采取项目合同管理和专款专用管理，不存在挤占挪用等违法违规行为</w:t>
      </w:r>
      <w:r>
        <w:rPr>
          <w:rFonts w:hint="eastAsia" w:ascii="仿宋" w:hAnsi="仿宋" w:eastAsia="仿宋" w:cs="仿宋_GB2312"/>
          <w:kern w:val="1"/>
          <w:sz w:val="32"/>
          <w:szCs w:val="32"/>
          <w:lang w:eastAsia="zh-CN"/>
        </w:rPr>
        <w:t>，</w:t>
      </w:r>
      <w:r>
        <w:rPr>
          <w:rFonts w:hint="eastAsia" w:ascii="仿宋" w:hAnsi="仿宋" w:eastAsia="仿宋" w:cs="仿宋_GB2312"/>
          <w:kern w:val="1"/>
          <w:sz w:val="32"/>
          <w:szCs w:val="32"/>
        </w:rPr>
        <w:t>严格按照工程量对公支付</w:t>
      </w:r>
      <w:r>
        <w:rPr>
          <w:rFonts w:hint="eastAsia" w:ascii="仿宋" w:hAnsi="仿宋" w:eastAsia="仿宋" w:cs="仿宋_GB2312"/>
          <w:kern w:val="1"/>
          <w:sz w:val="32"/>
          <w:szCs w:val="32"/>
          <w:lang w:eastAsia="zh-CN"/>
        </w:rPr>
        <w:t>，</w:t>
      </w:r>
      <w:r>
        <w:rPr>
          <w:rFonts w:hint="eastAsia" w:ascii="仿宋" w:hAnsi="仿宋" w:eastAsia="仿宋" w:cs="仿宋_GB2312"/>
          <w:kern w:val="1"/>
          <w:sz w:val="32"/>
          <w:szCs w:val="32"/>
        </w:rPr>
        <w:t>不存在超范围超标准支出、转移资金、挤占挪用等违法违规问题</w:t>
      </w:r>
      <w:r>
        <w:rPr>
          <w:rFonts w:hint="eastAsia" w:ascii="仿宋" w:hAnsi="仿宋" w:eastAsia="仿宋" w:cs="仿宋_GB2312"/>
          <w:kern w:val="1"/>
          <w:sz w:val="32"/>
          <w:szCs w:val="32"/>
          <w:lang w:eastAsia="zh-CN"/>
        </w:rPr>
        <w:t>，</w:t>
      </w:r>
      <w:r>
        <w:rPr>
          <w:rFonts w:hint="eastAsia" w:ascii="仿宋" w:hAnsi="仿宋" w:eastAsia="仿宋" w:cs="仿宋_GB2312"/>
          <w:kern w:val="1"/>
          <w:sz w:val="32"/>
          <w:szCs w:val="32"/>
        </w:rPr>
        <w:t>接受上级主管单位财政审计。</w:t>
      </w:r>
    </w:p>
    <w:p>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三、项目支出组织实施情况</w:t>
      </w:r>
    </w:p>
    <w:p>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一）公路养护：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_GB2312"/>
          <w:kern w:val="1"/>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_GB2312"/>
          <w:kern w:val="1"/>
          <w:sz w:val="32"/>
          <w:szCs w:val="32"/>
          <w:lang w:val="en-US" w:eastAsia="zh-CN"/>
        </w:rPr>
        <w:t>日常养护：</w:t>
      </w:r>
      <w:r>
        <w:rPr>
          <w:rFonts w:hint="eastAsia" w:ascii="仿宋" w:hAnsi="仿宋" w:eastAsia="仿宋" w:cs="仿宋_GB2312"/>
          <w:kern w:val="1"/>
          <w:sz w:val="32"/>
          <w:szCs w:val="32"/>
        </w:rPr>
        <w:t>完成国省干线及农村公路路面清扫、行道树修枝及刷白、水沟清理、清理路肩反坡</w:t>
      </w:r>
      <w:r>
        <w:rPr>
          <w:rFonts w:hint="eastAsia" w:ascii="仿宋" w:hAnsi="仿宋" w:eastAsia="仿宋" w:cs="仿宋_GB2312"/>
          <w:kern w:val="1"/>
          <w:sz w:val="32"/>
          <w:szCs w:val="32"/>
          <w:lang w:eastAsia="zh-CN"/>
        </w:rPr>
        <w:t>，</w:t>
      </w:r>
      <w:r>
        <w:rPr>
          <w:rFonts w:hint="eastAsia" w:ascii="仿宋" w:hAnsi="仿宋" w:eastAsia="仿宋" w:cs="仿宋_GB2312"/>
          <w:kern w:val="1"/>
          <w:sz w:val="32"/>
          <w:szCs w:val="32"/>
          <w:lang w:val="en-US" w:eastAsia="zh-CN"/>
        </w:rPr>
        <w:t>项目完工率100%，已</w:t>
      </w:r>
      <w:r>
        <w:rPr>
          <w:rFonts w:hint="eastAsia" w:ascii="仿宋" w:hAnsi="仿宋" w:eastAsia="仿宋" w:cs="仿宋_GB2312"/>
          <w:kern w:val="1"/>
          <w:sz w:val="32"/>
          <w:szCs w:val="32"/>
          <w:lang w:eastAsia="zh-CN"/>
        </w:rPr>
        <w:t>按时完成。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Times New Roman" w:hAnsi="Times New Roman" w:eastAsia="仿宋_GB2312"/>
          <w:sz w:val="32"/>
          <w:szCs w:val="32"/>
          <w:lang w:val="en-US" w:eastAsia="zh-CN"/>
        </w:rPr>
        <w:t>2.</w:t>
      </w:r>
      <w:r>
        <w:rPr>
          <w:rFonts w:hint="eastAsia" w:ascii="仿宋" w:hAnsi="仿宋" w:eastAsia="仿宋" w:cs="仿宋_GB2312"/>
          <w:kern w:val="1"/>
          <w:sz w:val="32"/>
          <w:szCs w:val="32"/>
          <w:lang w:val="en-US" w:eastAsia="zh-CN"/>
        </w:rPr>
        <w:t>养护工程：完成</w:t>
      </w:r>
      <w:r>
        <w:rPr>
          <w:rFonts w:hint="eastAsia" w:ascii="仿宋" w:hAnsi="仿宋" w:eastAsia="仿宋" w:cs="仿宋_GB2312"/>
          <w:kern w:val="1"/>
          <w:sz w:val="32"/>
          <w:szCs w:val="32"/>
        </w:rPr>
        <w:t>202</w:t>
      </w:r>
      <w:r>
        <w:rPr>
          <w:rFonts w:hint="eastAsia" w:ascii="仿宋" w:hAnsi="仿宋" w:eastAsia="仿宋" w:cs="仿宋_GB2312"/>
          <w:kern w:val="1"/>
          <w:sz w:val="32"/>
          <w:szCs w:val="32"/>
          <w:lang w:val="en-US" w:eastAsia="zh-CN"/>
        </w:rPr>
        <w:t>2</w:t>
      </w:r>
      <w:r>
        <w:rPr>
          <w:rFonts w:hint="eastAsia" w:ascii="仿宋" w:hAnsi="仿宋" w:eastAsia="仿宋" w:cs="仿宋_GB2312"/>
          <w:kern w:val="1"/>
          <w:sz w:val="32"/>
          <w:szCs w:val="32"/>
        </w:rPr>
        <w:t>年</w:t>
      </w:r>
      <w:r>
        <w:rPr>
          <w:rFonts w:hint="eastAsia" w:ascii="仿宋" w:hAnsi="仿宋" w:eastAsia="仿宋" w:cs="仿宋_GB2312"/>
          <w:kern w:val="1"/>
          <w:sz w:val="32"/>
          <w:szCs w:val="32"/>
          <w:lang w:val="en-US" w:eastAsia="zh-CN"/>
        </w:rPr>
        <w:t>农村公路养护工程</w:t>
      </w:r>
      <w:r>
        <w:rPr>
          <w:rFonts w:hint="eastAsia" w:ascii="仿宋" w:hAnsi="仿宋" w:eastAsia="仿宋" w:cs="仿宋_GB2312"/>
          <w:kern w:val="1"/>
          <w:sz w:val="32"/>
          <w:szCs w:val="32"/>
          <w:lang w:eastAsia="zh-CN"/>
        </w:rPr>
        <w:t>包括</w:t>
      </w:r>
      <w:r>
        <w:rPr>
          <w:rFonts w:hint="eastAsia" w:ascii="仿宋" w:hAnsi="仿宋" w:eastAsia="仿宋" w:cs="仿宋_GB2312"/>
          <w:kern w:val="1"/>
          <w:sz w:val="32"/>
          <w:szCs w:val="32"/>
          <w:lang w:val="en-US" w:eastAsia="zh-CN"/>
        </w:rPr>
        <w:t>CX56线、C19A线、CY05线、Y100线、C034线、CJJ3线、C21A线、XOO2线等。</w:t>
      </w:r>
      <w:r>
        <w:rPr>
          <w:rFonts w:hint="eastAsia" w:ascii="仿宋" w:hAnsi="仿宋" w:eastAsia="仿宋" w:cs="仿宋_GB2312"/>
          <w:kern w:val="1"/>
          <w:sz w:val="32"/>
          <w:szCs w:val="32"/>
        </w:rPr>
        <w:t>主要</w:t>
      </w:r>
      <w:r>
        <w:rPr>
          <w:rFonts w:hint="eastAsia" w:ascii="仿宋" w:hAnsi="仿宋" w:eastAsia="仿宋" w:cs="仿宋_GB2312"/>
          <w:kern w:val="1"/>
          <w:sz w:val="32"/>
          <w:szCs w:val="32"/>
          <w:lang w:eastAsia="zh-CN"/>
        </w:rPr>
        <w:t>工程内容</w:t>
      </w:r>
      <w:r>
        <w:rPr>
          <w:rFonts w:hint="eastAsia" w:ascii="仿宋" w:hAnsi="仿宋" w:eastAsia="仿宋" w:cs="仿宋_GB2312"/>
          <w:kern w:val="1"/>
          <w:sz w:val="32"/>
          <w:szCs w:val="32"/>
        </w:rPr>
        <w:t>为</w:t>
      </w:r>
      <w:r>
        <w:rPr>
          <w:rFonts w:hint="eastAsia" w:ascii="仿宋" w:hAnsi="仿宋" w:eastAsia="仿宋" w:cs="仿宋_GB2312"/>
          <w:kern w:val="1"/>
          <w:sz w:val="32"/>
          <w:szCs w:val="32"/>
          <w:lang w:eastAsia="zh-CN"/>
        </w:rPr>
        <w:t>修复养护中修白加黑项目以及大修白改黑项目，</w:t>
      </w:r>
      <w:r>
        <w:rPr>
          <w:rFonts w:hint="eastAsia" w:ascii="仿宋" w:hAnsi="仿宋" w:eastAsia="仿宋" w:cs="仿宋_GB2312"/>
          <w:kern w:val="1"/>
          <w:sz w:val="32"/>
          <w:szCs w:val="32"/>
          <w:lang w:val="en-US" w:eastAsia="zh-CN"/>
        </w:rPr>
        <w:t>项目完工率100%，已</w:t>
      </w:r>
      <w:r>
        <w:rPr>
          <w:rFonts w:hint="eastAsia" w:ascii="仿宋" w:hAnsi="仿宋" w:eastAsia="仿宋" w:cs="仿宋_GB2312"/>
          <w:kern w:val="1"/>
          <w:sz w:val="32"/>
          <w:szCs w:val="32"/>
          <w:lang w:eastAsia="zh-CN"/>
        </w:rPr>
        <w:t>按时完成。</w:t>
      </w:r>
    </w:p>
    <w:p>
      <w:pPr>
        <w:adjustRightInd w:val="0"/>
        <w:snapToGrid w:val="0"/>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（二）农村公路生命安全防护工程：</w:t>
      </w:r>
    </w:p>
    <w:p>
      <w:pPr>
        <w:spacing w:line="520" w:lineRule="exact"/>
        <w:ind w:firstLine="560"/>
        <w:rPr>
          <w:rFonts w:hint="eastAsia" w:ascii="仿宋" w:hAnsi="仿宋" w:eastAsia="仿宋" w:cs="仿宋_GB2312"/>
          <w:kern w:val="1"/>
          <w:sz w:val="32"/>
          <w:szCs w:val="32"/>
          <w:lang w:eastAsia="zh-CN"/>
        </w:rPr>
      </w:pPr>
      <w:r>
        <w:rPr>
          <w:rFonts w:hint="eastAsia" w:ascii="仿宋" w:hAnsi="仿宋" w:eastAsia="仿宋" w:cs="仿宋_GB2312"/>
          <w:kern w:val="1"/>
          <w:sz w:val="32"/>
          <w:szCs w:val="32"/>
          <w:lang w:val="en-US" w:eastAsia="zh-CN"/>
        </w:rPr>
        <w:t>雁峰区农村公路生命安全防护工程项目为处治雁峰区C08A</w:t>
      </w:r>
      <w:r>
        <w:rPr>
          <w:rFonts w:hint="eastAsia" w:ascii="仿宋" w:hAnsi="仿宋" w:eastAsia="仿宋" w:cs="仿宋_GB2312"/>
          <w:kern w:val="1"/>
          <w:sz w:val="32"/>
          <w:szCs w:val="32"/>
          <w:lang w:eastAsia="zh-CN"/>
        </w:rPr>
        <w:t>等农村公路安全隐患，主要施工内容为：钢护栏、标志牌、减速带、反光镜等交通防护设施安装。</w:t>
      </w:r>
      <w:r>
        <w:rPr>
          <w:rFonts w:hint="eastAsia" w:ascii="仿宋" w:hAnsi="仿宋" w:eastAsia="仿宋" w:cs="仿宋_GB2312"/>
          <w:kern w:val="1"/>
          <w:sz w:val="32"/>
          <w:szCs w:val="32"/>
          <w:lang w:val="en-US" w:eastAsia="zh-CN"/>
        </w:rPr>
        <w:t>项目完工率均为100%，已</w:t>
      </w:r>
      <w:r>
        <w:rPr>
          <w:rFonts w:hint="eastAsia" w:ascii="仿宋" w:hAnsi="仿宋" w:eastAsia="仿宋" w:cs="仿宋_GB2312"/>
          <w:kern w:val="1"/>
          <w:sz w:val="32"/>
          <w:szCs w:val="32"/>
          <w:lang w:eastAsia="zh-CN"/>
        </w:rPr>
        <w:t>按时完成。</w:t>
      </w:r>
    </w:p>
    <w:p>
      <w:pPr>
        <w:adjustRightInd w:val="0"/>
        <w:snapToGrid w:val="0"/>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（三）危桥改造：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宋体" w:hAnsi="宋体" w:eastAsia="宋体" w:cs="宋体"/>
          <w:sz w:val="32"/>
          <w:szCs w:val="32"/>
          <w:lang w:eastAsia="zh-CN"/>
        </w:rPr>
      </w:pPr>
      <w:r>
        <w:rPr>
          <w:rFonts w:hint="eastAsia" w:ascii="仿宋" w:hAnsi="仿宋" w:eastAsia="仿宋" w:cs="仿宋_GB2312"/>
          <w:kern w:val="1"/>
          <w:sz w:val="32"/>
          <w:szCs w:val="32"/>
        </w:rPr>
        <w:t>202</w:t>
      </w:r>
      <w:r>
        <w:rPr>
          <w:rFonts w:hint="eastAsia" w:ascii="仿宋" w:hAnsi="仿宋" w:eastAsia="仿宋" w:cs="仿宋_GB2312"/>
          <w:kern w:val="1"/>
          <w:sz w:val="32"/>
          <w:szCs w:val="32"/>
          <w:lang w:val="en-US" w:eastAsia="zh-CN"/>
        </w:rPr>
        <w:t>2</w:t>
      </w:r>
      <w:r>
        <w:rPr>
          <w:rFonts w:hint="eastAsia" w:ascii="仿宋" w:hAnsi="仿宋" w:eastAsia="仿宋" w:cs="仿宋_GB2312"/>
          <w:kern w:val="1"/>
          <w:sz w:val="32"/>
          <w:szCs w:val="32"/>
        </w:rPr>
        <w:t>年雁峰区</w:t>
      </w:r>
      <w:r>
        <w:rPr>
          <w:rFonts w:hint="eastAsia" w:ascii="仿宋" w:hAnsi="仿宋" w:eastAsia="仿宋" w:cs="仿宋_GB2312"/>
          <w:kern w:val="1"/>
          <w:sz w:val="32"/>
          <w:szCs w:val="32"/>
          <w:lang w:eastAsia="zh-CN"/>
        </w:rPr>
        <w:t>茶园桥桥梁全长</w:t>
      </w:r>
      <w:r>
        <w:rPr>
          <w:rFonts w:hint="eastAsia" w:ascii="仿宋" w:hAnsi="仿宋" w:eastAsia="仿宋" w:cs="仿宋_GB2312"/>
          <w:kern w:val="1"/>
          <w:sz w:val="32"/>
          <w:szCs w:val="32"/>
          <w:lang w:val="en-US" w:eastAsia="zh-CN"/>
        </w:rPr>
        <w:t>43.9m,桥梁全宽为18.5m,由于桥梁承载力不足，已对桥梁进行维修加固，项目完工率100%，已</w:t>
      </w:r>
      <w:r>
        <w:rPr>
          <w:rFonts w:hint="eastAsia" w:ascii="仿宋" w:hAnsi="仿宋" w:eastAsia="仿宋" w:cs="仿宋_GB2312"/>
          <w:kern w:val="1"/>
          <w:sz w:val="32"/>
          <w:szCs w:val="32"/>
          <w:lang w:eastAsia="zh-CN"/>
        </w:rPr>
        <w:t>按时完成。</w:t>
      </w:r>
    </w:p>
    <w:p>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四、项目支出绩效情况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sz w:val="32"/>
          <w:szCs w:val="32"/>
        </w:rPr>
      </w:pPr>
      <w:r>
        <w:rPr>
          <w:rFonts w:hint="eastAsia" w:ascii="仿宋" w:hAnsi="仿宋" w:eastAsia="仿宋"/>
          <w:sz w:val="32"/>
          <w:szCs w:val="32"/>
          <w:lang w:eastAsia="zh-CN"/>
        </w:rPr>
        <w:t>雁峰分中心</w:t>
      </w:r>
      <w:r>
        <w:rPr>
          <w:rFonts w:hint="eastAsia" w:ascii="仿宋" w:hAnsi="仿宋" w:eastAsia="仿宋"/>
          <w:sz w:val="32"/>
          <w:szCs w:val="32"/>
        </w:rPr>
        <w:t>认真贯彻落实全市公路工作会议精神和区委经济工作会议精神，立足实际、主动作为、建章立制、规范管理、重在强基，各项工作稳步推进，圆满完成了全年各项目标任务，实现了良好开局</w:t>
      </w:r>
      <w:r>
        <w:rPr>
          <w:rFonts w:hint="eastAsia" w:ascii="仿宋" w:hAnsi="仿宋" w:eastAsia="仿宋"/>
          <w:sz w:val="32"/>
          <w:szCs w:val="32"/>
          <w:lang w:eastAsia="zh-CN"/>
        </w:rPr>
        <w:t>，</w:t>
      </w:r>
      <w:r>
        <w:rPr>
          <w:rFonts w:hint="eastAsia" w:ascii="仿宋" w:hAnsi="仿宋" w:eastAsia="仿宋"/>
          <w:sz w:val="32"/>
          <w:szCs w:val="32"/>
          <w:lang w:val="en-US" w:eastAsia="zh-CN"/>
        </w:rPr>
        <w:t>2022年各项目</w:t>
      </w:r>
      <w:r>
        <w:rPr>
          <w:rFonts w:hint="eastAsia" w:ascii="仿宋" w:hAnsi="仿宋" w:eastAsia="仿宋"/>
          <w:sz w:val="32"/>
          <w:szCs w:val="32"/>
          <w:lang w:eastAsia="zh-CN"/>
        </w:rPr>
        <w:t>增强了</w:t>
      </w:r>
      <w:r>
        <w:rPr>
          <w:rFonts w:hint="eastAsia" w:ascii="仿宋" w:hAnsi="仿宋" w:eastAsia="仿宋"/>
          <w:sz w:val="32"/>
          <w:szCs w:val="32"/>
          <w:lang w:val="en-US" w:eastAsia="zh-CN"/>
        </w:rPr>
        <w:t>雁峰路段的养护能力，</w:t>
      </w:r>
      <w:r>
        <w:rPr>
          <w:rFonts w:hint="eastAsia" w:ascii="仿宋" w:hAnsi="仿宋" w:eastAsia="仿宋"/>
          <w:sz w:val="32"/>
          <w:szCs w:val="32"/>
          <w:lang w:eastAsia="zh-CN"/>
        </w:rPr>
        <w:t>提高了公路养护标准，促进</w:t>
      </w:r>
      <w:r>
        <w:rPr>
          <w:rFonts w:hint="eastAsia" w:ascii="仿宋" w:hAnsi="仿宋" w:eastAsia="仿宋"/>
          <w:sz w:val="32"/>
          <w:szCs w:val="32"/>
        </w:rPr>
        <w:t>了</w:t>
      </w:r>
      <w:r>
        <w:rPr>
          <w:rFonts w:hint="eastAsia" w:ascii="仿宋" w:hAnsi="仿宋" w:eastAsia="仿宋"/>
          <w:sz w:val="32"/>
          <w:szCs w:val="32"/>
          <w:lang w:val="en-US" w:eastAsia="zh-CN"/>
        </w:rPr>
        <w:t>雁峰区公路路况</w:t>
      </w:r>
      <w:r>
        <w:rPr>
          <w:rFonts w:hint="eastAsia" w:ascii="仿宋" w:hAnsi="仿宋" w:eastAsia="仿宋"/>
          <w:sz w:val="32"/>
          <w:szCs w:val="32"/>
        </w:rPr>
        <w:t>可持续发展。项目绩效自评结果为良好，已向社会公示，社会公众及周边群众满意度较高</w:t>
      </w:r>
      <w:r>
        <w:rPr>
          <w:rFonts w:hint="eastAsia" w:ascii="仿宋" w:hAnsi="仿宋" w:eastAsia="仿宋"/>
          <w:sz w:val="32"/>
          <w:szCs w:val="32"/>
          <w:lang w:eastAsia="zh-CN"/>
        </w:rPr>
        <w:t>。</w:t>
      </w:r>
    </w:p>
    <w:p>
      <w:pPr>
        <w:numPr>
          <w:ilvl w:val="0"/>
          <w:numId w:val="2"/>
        </w:num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主要经验做法、存在的问题及原因分析</w:t>
      </w:r>
    </w:p>
    <w:p>
      <w:pPr>
        <w:adjustRightInd w:val="0"/>
        <w:snapToGrid w:val="0"/>
        <w:spacing w:line="600" w:lineRule="exact"/>
        <w:ind w:firstLine="640" w:firstLineChars="200"/>
        <w:rPr>
          <w:rFonts w:hint="eastAsia" w:ascii="仿宋" w:hAnsi="仿宋" w:eastAsia="仿宋" w:cs="仿宋"/>
          <w:sz w:val="32"/>
          <w:szCs w:val="32"/>
          <w:lang w:eastAsia="zh-CN"/>
        </w:rPr>
      </w:pPr>
      <w:r>
        <w:rPr>
          <w:rFonts w:hint="eastAsia" w:ascii="Times New Roman" w:hAnsi="Times New Roman" w:eastAsia="仿宋_GB2312"/>
          <w:sz w:val="32"/>
          <w:szCs w:val="32"/>
          <w:lang w:val="en-US" w:eastAsia="zh-CN"/>
        </w:rPr>
        <w:t>公路建设养护资金投入不足，与公路实际建养需求有差距。</w:t>
      </w:r>
    </w:p>
    <w:p>
      <w:pPr>
        <w:numPr>
          <w:ilvl w:val="0"/>
          <w:numId w:val="2"/>
        </w:numPr>
        <w:adjustRightInd w:val="0"/>
        <w:snapToGrid w:val="0"/>
        <w:spacing w:line="600"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有关建议</w:t>
      </w:r>
    </w:p>
    <w:p>
      <w:pPr>
        <w:spacing w:line="520" w:lineRule="exact"/>
        <w:ind w:firstLine="560"/>
        <w:rPr>
          <w:rFonts w:hint="eastAsia" w:ascii="仿宋" w:hAnsi="仿宋" w:eastAsia="仿宋" w:cs="仿宋"/>
          <w:sz w:val="32"/>
          <w:szCs w:val="32"/>
          <w:lang w:eastAsia="zh-CN"/>
        </w:rPr>
      </w:pPr>
      <w:r>
        <w:rPr>
          <w:rFonts w:hint="eastAsia" w:ascii="仿宋" w:hAnsi="仿宋" w:eastAsia="仿宋" w:cs="仿宋_GB2312"/>
          <w:kern w:val="1"/>
          <w:sz w:val="32"/>
          <w:szCs w:val="32"/>
        </w:rPr>
        <w:t>建议财政部门解决公路养护经费；按中央、省里要求安排专项经费，加大公路养护费的投入；采取“一事一议”的形式安排大中修计划，便于及时、更好、更大范围进行公路、桥梁的养护，使道路设施得到长效管理，持续发展。</w:t>
      </w:r>
    </w:p>
    <w:p>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七、其他需要说明的问题</w:t>
      </w:r>
    </w:p>
    <w:p>
      <w:pPr>
        <w:adjustRightInd w:val="0"/>
        <w:snapToGrid w:val="0"/>
        <w:spacing w:line="600" w:lineRule="exact"/>
        <w:ind w:firstLine="640" w:firstLineChars="200"/>
        <w:rPr>
          <w:rFonts w:ascii="Times New Roman" w:hAnsi="Times New Roman" w:eastAsia="仿宋_GB2312"/>
          <w:sz w:val="32"/>
          <w:szCs w:val="32"/>
        </w:rPr>
      </w:pPr>
    </w:p>
    <w:p>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附件：项目支出绩效自评表</w:t>
      </w:r>
    </w:p>
    <w:p>
      <w:pPr>
        <w:adjustRightInd w:val="0"/>
        <w:snapToGrid w:val="0"/>
        <w:spacing w:line="600" w:lineRule="exact"/>
        <w:ind w:firstLine="640" w:firstLineChars="200"/>
        <w:rPr>
          <w:rFonts w:ascii="Times New Roman" w:hAnsi="Times New Roman" w:eastAsia="仿宋_GB2312"/>
          <w:sz w:val="32"/>
          <w:szCs w:val="32"/>
        </w:rPr>
      </w:pPr>
    </w:p>
    <w:p>
      <w:pPr>
        <w:adjustRightInd w:val="0"/>
        <w:snapToGrid w:val="0"/>
        <w:spacing w:line="600" w:lineRule="exact"/>
        <w:ind w:firstLine="640" w:firstLineChars="200"/>
        <w:rPr>
          <w:rFonts w:ascii="Times New Roman" w:hAnsi="Times New Roman" w:eastAsia="仿宋_GB2312"/>
          <w:sz w:val="32"/>
          <w:szCs w:val="32"/>
        </w:rPr>
      </w:pPr>
    </w:p>
    <w:p>
      <w:pPr>
        <w:adjustRightInd w:val="0"/>
        <w:snapToGrid w:val="0"/>
        <w:spacing w:line="600" w:lineRule="exact"/>
        <w:ind w:firstLine="640" w:firstLineChars="200"/>
        <w:rPr>
          <w:rFonts w:ascii="Times New Roman" w:hAnsi="Times New Roman" w:eastAsia="仿宋_GB2312"/>
          <w:sz w:val="32"/>
          <w:szCs w:val="32"/>
        </w:rPr>
      </w:pPr>
    </w:p>
    <w:p>
      <w:pPr>
        <w:keepNext w:val="0"/>
        <w:keepLines w:val="0"/>
        <w:pageBreakBefore w:val="0"/>
        <w:kinsoku/>
        <w:wordWrap/>
        <w:overflowPunct/>
        <w:topLinePunct w:val="0"/>
        <w:autoSpaceDE/>
        <w:autoSpaceDN/>
        <w:bidi w:val="0"/>
        <w:adjustRightInd/>
        <w:snapToGrid/>
        <w:spacing w:line="40" w:lineRule="atLeast"/>
        <w:textAlignment w:val="auto"/>
        <w:rPr>
          <w:rFonts w:hint="eastAsia" w:ascii="Times New Roman" w:hAnsi="Times New Roman"/>
          <w:kern w:val="0"/>
          <w:sz w:val="22"/>
        </w:rPr>
      </w:pPr>
    </w:p>
    <w:sectPr>
      <w:footerReference r:id="rId3" w:type="default"/>
      <w:footerReference r:id="rId4" w:type="even"/>
      <w:pgSz w:w="11906" w:h="16838"/>
      <w:pgMar w:top="1440" w:right="1797" w:bottom="1440" w:left="1797" w:header="851" w:footer="992" w:gutter="0"/>
      <w:pgNumType w:fmt="numberInDash"/>
      <w:cols w:space="425" w:num="1"/>
      <w:titlePg/>
      <w:rtlGutter w:val="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方正小标宋_GBK">
    <w:altName w:val="微软雅黑"/>
    <w:panose1 w:val="00000000000000000000"/>
    <w:charset w:val="86"/>
    <w:family w:val="script"/>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Fonts w:ascii="Times New Roman" w:hAnsi="Times New Roman"/>
        <w:sz w:val="28"/>
        <w:szCs w:val="28"/>
      </w:rPr>
    </w:pPr>
    <w:r>
      <w:rPr>
        <w:rStyle w:val="10"/>
        <w:rFonts w:ascii="Times New Roman" w:hAnsi="Times New Roman"/>
        <w:sz w:val="28"/>
        <w:szCs w:val="28"/>
      </w:rPr>
      <w:fldChar w:fldCharType="begin"/>
    </w:r>
    <w:r>
      <w:rPr>
        <w:rStyle w:val="10"/>
        <w:rFonts w:ascii="Times New Roman" w:hAnsi="Times New Roman"/>
        <w:sz w:val="28"/>
        <w:szCs w:val="28"/>
      </w:rPr>
      <w:instrText xml:space="preserve">PAGE  </w:instrText>
    </w:r>
    <w:r>
      <w:rPr>
        <w:rStyle w:val="10"/>
        <w:rFonts w:ascii="Times New Roman" w:hAnsi="Times New Roman"/>
        <w:sz w:val="28"/>
        <w:szCs w:val="28"/>
      </w:rPr>
      <w:fldChar w:fldCharType="separate"/>
    </w:r>
    <w:r>
      <w:rPr>
        <w:rStyle w:val="10"/>
        <w:rFonts w:ascii="Times New Roman" w:hAnsi="Times New Roman"/>
        <w:sz w:val="28"/>
        <w:szCs w:val="28"/>
      </w:rPr>
      <w:t>- 10 -</w:t>
    </w:r>
    <w:r>
      <w:rPr>
        <w:rStyle w:val="10"/>
        <w:rFonts w:ascii="Times New Roman" w:hAnsi="Times New Roman"/>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FEA21F"/>
    <w:multiLevelType w:val="singleLevel"/>
    <w:tmpl w:val="BAFEA21F"/>
    <w:lvl w:ilvl="0" w:tentative="0">
      <w:start w:val="5"/>
      <w:numFmt w:val="chineseCounting"/>
      <w:suff w:val="nothing"/>
      <w:lvlText w:val="%1、"/>
      <w:lvlJc w:val="left"/>
      <w:rPr>
        <w:rFonts w:hint="eastAsia"/>
      </w:rPr>
    </w:lvl>
  </w:abstractNum>
  <w:abstractNum w:abstractNumId="1">
    <w:nsid w:val="02EB05C7"/>
    <w:multiLevelType w:val="singleLevel"/>
    <w:tmpl w:val="02EB05C7"/>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iNzE2N2NhMWM4ODI0YjE2MTJhMjliMTI3MjI0YTMifQ=="/>
  </w:docVars>
  <w:rsids>
    <w:rsidRoot w:val="00C553EF"/>
    <w:rsid w:val="000003CE"/>
    <w:rsid w:val="00012C93"/>
    <w:rsid w:val="00047F84"/>
    <w:rsid w:val="000576D3"/>
    <w:rsid w:val="000734E3"/>
    <w:rsid w:val="00075A0A"/>
    <w:rsid w:val="000773D5"/>
    <w:rsid w:val="00080625"/>
    <w:rsid w:val="00093B9D"/>
    <w:rsid w:val="00094646"/>
    <w:rsid w:val="0009693E"/>
    <w:rsid w:val="000B198C"/>
    <w:rsid w:val="000D2C41"/>
    <w:rsid w:val="000F775C"/>
    <w:rsid w:val="001202E2"/>
    <w:rsid w:val="00125025"/>
    <w:rsid w:val="00135395"/>
    <w:rsid w:val="00156241"/>
    <w:rsid w:val="00161E3C"/>
    <w:rsid w:val="00184AF2"/>
    <w:rsid w:val="00184FD6"/>
    <w:rsid w:val="00187925"/>
    <w:rsid w:val="00192C8B"/>
    <w:rsid w:val="00193BE4"/>
    <w:rsid w:val="001B56F4"/>
    <w:rsid w:val="001B69B6"/>
    <w:rsid w:val="001B772F"/>
    <w:rsid w:val="001D51B4"/>
    <w:rsid w:val="001E72C3"/>
    <w:rsid w:val="001F7E2A"/>
    <w:rsid w:val="001F7E8F"/>
    <w:rsid w:val="0020617B"/>
    <w:rsid w:val="002175AB"/>
    <w:rsid w:val="002238BB"/>
    <w:rsid w:val="002320EB"/>
    <w:rsid w:val="00245E69"/>
    <w:rsid w:val="00261A26"/>
    <w:rsid w:val="00264F99"/>
    <w:rsid w:val="0027341E"/>
    <w:rsid w:val="002734F8"/>
    <w:rsid w:val="002A1848"/>
    <w:rsid w:val="002E75D6"/>
    <w:rsid w:val="002F028F"/>
    <w:rsid w:val="002F05A3"/>
    <w:rsid w:val="002F703C"/>
    <w:rsid w:val="003115C2"/>
    <w:rsid w:val="003126FC"/>
    <w:rsid w:val="0032265F"/>
    <w:rsid w:val="00323CF3"/>
    <w:rsid w:val="0032533F"/>
    <w:rsid w:val="00327792"/>
    <w:rsid w:val="00331CB2"/>
    <w:rsid w:val="00336605"/>
    <w:rsid w:val="0034484C"/>
    <w:rsid w:val="003655C9"/>
    <w:rsid w:val="003677D3"/>
    <w:rsid w:val="00371658"/>
    <w:rsid w:val="00374B44"/>
    <w:rsid w:val="00384BCE"/>
    <w:rsid w:val="00386D93"/>
    <w:rsid w:val="00395AA2"/>
    <w:rsid w:val="003B6814"/>
    <w:rsid w:val="003B7F5C"/>
    <w:rsid w:val="003C77D0"/>
    <w:rsid w:val="003E1FD6"/>
    <w:rsid w:val="003F7EAF"/>
    <w:rsid w:val="00404B02"/>
    <w:rsid w:val="004148E0"/>
    <w:rsid w:val="00417CBA"/>
    <w:rsid w:val="004217FE"/>
    <w:rsid w:val="00430997"/>
    <w:rsid w:val="00474A27"/>
    <w:rsid w:val="00474AD0"/>
    <w:rsid w:val="00481E94"/>
    <w:rsid w:val="00487AC5"/>
    <w:rsid w:val="00496F05"/>
    <w:rsid w:val="004A6D5D"/>
    <w:rsid w:val="004C0C59"/>
    <w:rsid w:val="004E57B7"/>
    <w:rsid w:val="004F4295"/>
    <w:rsid w:val="005010B5"/>
    <w:rsid w:val="00541A59"/>
    <w:rsid w:val="00551D43"/>
    <w:rsid w:val="00562EEB"/>
    <w:rsid w:val="00564823"/>
    <w:rsid w:val="0056660C"/>
    <w:rsid w:val="005851E9"/>
    <w:rsid w:val="00586559"/>
    <w:rsid w:val="00594AEE"/>
    <w:rsid w:val="005C60D5"/>
    <w:rsid w:val="005C7F17"/>
    <w:rsid w:val="00637CE2"/>
    <w:rsid w:val="00661738"/>
    <w:rsid w:val="006906AF"/>
    <w:rsid w:val="006964D9"/>
    <w:rsid w:val="00697D4B"/>
    <w:rsid w:val="006D1F1C"/>
    <w:rsid w:val="006F37DA"/>
    <w:rsid w:val="00704941"/>
    <w:rsid w:val="00705365"/>
    <w:rsid w:val="0071000B"/>
    <w:rsid w:val="007119B1"/>
    <w:rsid w:val="007123D7"/>
    <w:rsid w:val="00751BF0"/>
    <w:rsid w:val="00753AFA"/>
    <w:rsid w:val="00757006"/>
    <w:rsid w:val="00771B0E"/>
    <w:rsid w:val="007809D2"/>
    <w:rsid w:val="00781959"/>
    <w:rsid w:val="00787BDD"/>
    <w:rsid w:val="0079174B"/>
    <w:rsid w:val="0079586D"/>
    <w:rsid w:val="00795B22"/>
    <w:rsid w:val="007A3E06"/>
    <w:rsid w:val="007A6F2C"/>
    <w:rsid w:val="007C0F8E"/>
    <w:rsid w:val="007E090D"/>
    <w:rsid w:val="007E2C17"/>
    <w:rsid w:val="007E2D1B"/>
    <w:rsid w:val="007E3E71"/>
    <w:rsid w:val="007E7433"/>
    <w:rsid w:val="007F1EAF"/>
    <w:rsid w:val="00820EEF"/>
    <w:rsid w:val="00821009"/>
    <w:rsid w:val="008242F9"/>
    <w:rsid w:val="00847A3C"/>
    <w:rsid w:val="00861BEC"/>
    <w:rsid w:val="00875CA8"/>
    <w:rsid w:val="00893AEC"/>
    <w:rsid w:val="008A04C6"/>
    <w:rsid w:val="008D0E22"/>
    <w:rsid w:val="008D67F1"/>
    <w:rsid w:val="009377FB"/>
    <w:rsid w:val="009477D1"/>
    <w:rsid w:val="00963B0B"/>
    <w:rsid w:val="00972566"/>
    <w:rsid w:val="0099481A"/>
    <w:rsid w:val="009B2A62"/>
    <w:rsid w:val="009C291F"/>
    <w:rsid w:val="009C4723"/>
    <w:rsid w:val="009D11D2"/>
    <w:rsid w:val="009D4B7E"/>
    <w:rsid w:val="009E418E"/>
    <w:rsid w:val="00A01263"/>
    <w:rsid w:val="00A148B9"/>
    <w:rsid w:val="00A207ED"/>
    <w:rsid w:val="00A27AB1"/>
    <w:rsid w:val="00A35224"/>
    <w:rsid w:val="00A3605E"/>
    <w:rsid w:val="00A43A8E"/>
    <w:rsid w:val="00A52A9A"/>
    <w:rsid w:val="00A55C61"/>
    <w:rsid w:val="00AB363C"/>
    <w:rsid w:val="00AC12C1"/>
    <w:rsid w:val="00AD4A25"/>
    <w:rsid w:val="00AF0245"/>
    <w:rsid w:val="00AF15ED"/>
    <w:rsid w:val="00AF1AD7"/>
    <w:rsid w:val="00B215FA"/>
    <w:rsid w:val="00B304A1"/>
    <w:rsid w:val="00B702EE"/>
    <w:rsid w:val="00B76FF3"/>
    <w:rsid w:val="00B834A3"/>
    <w:rsid w:val="00B8758E"/>
    <w:rsid w:val="00B910F1"/>
    <w:rsid w:val="00BC671F"/>
    <w:rsid w:val="00BD4955"/>
    <w:rsid w:val="00BD7F24"/>
    <w:rsid w:val="00BE3C11"/>
    <w:rsid w:val="00C02A71"/>
    <w:rsid w:val="00C03525"/>
    <w:rsid w:val="00C23636"/>
    <w:rsid w:val="00C338B7"/>
    <w:rsid w:val="00C37587"/>
    <w:rsid w:val="00C553EF"/>
    <w:rsid w:val="00C641BD"/>
    <w:rsid w:val="00C64651"/>
    <w:rsid w:val="00C67D46"/>
    <w:rsid w:val="00C71D0A"/>
    <w:rsid w:val="00C737E3"/>
    <w:rsid w:val="00C7485F"/>
    <w:rsid w:val="00CB5751"/>
    <w:rsid w:val="00CC4373"/>
    <w:rsid w:val="00CD207D"/>
    <w:rsid w:val="00CD7E4E"/>
    <w:rsid w:val="00D34C90"/>
    <w:rsid w:val="00D75793"/>
    <w:rsid w:val="00D8620A"/>
    <w:rsid w:val="00D95FAF"/>
    <w:rsid w:val="00DC38FA"/>
    <w:rsid w:val="00DD4AA2"/>
    <w:rsid w:val="00DD58E9"/>
    <w:rsid w:val="00DD5A15"/>
    <w:rsid w:val="00DD5F47"/>
    <w:rsid w:val="00DF0B7A"/>
    <w:rsid w:val="00DF732C"/>
    <w:rsid w:val="00E114F9"/>
    <w:rsid w:val="00E15DDC"/>
    <w:rsid w:val="00E25A7B"/>
    <w:rsid w:val="00E323CD"/>
    <w:rsid w:val="00E4161A"/>
    <w:rsid w:val="00E567D4"/>
    <w:rsid w:val="00E568EB"/>
    <w:rsid w:val="00E63866"/>
    <w:rsid w:val="00E8571A"/>
    <w:rsid w:val="00E94B12"/>
    <w:rsid w:val="00EA2242"/>
    <w:rsid w:val="00EB2368"/>
    <w:rsid w:val="00EB5376"/>
    <w:rsid w:val="00F10B3D"/>
    <w:rsid w:val="00F31255"/>
    <w:rsid w:val="00F43730"/>
    <w:rsid w:val="00F43C63"/>
    <w:rsid w:val="00F55DE1"/>
    <w:rsid w:val="00F578D5"/>
    <w:rsid w:val="00F870A7"/>
    <w:rsid w:val="00FA2BB2"/>
    <w:rsid w:val="00FB36C0"/>
    <w:rsid w:val="00FC450D"/>
    <w:rsid w:val="00FD081E"/>
    <w:rsid w:val="00FD3E57"/>
    <w:rsid w:val="00FE4826"/>
    <w:rsid w:val="0F262ACD"/>
    <w:rsid w:val="10A34BB6"/>
    <w:rsid w:val="15DA6FC6"/>
    <w:rsid w:val="1B5C4B39"/>
    <w:rsid w:val="282E5980"/>
    <w:rsid w:val="2C273FAD"/>
    <w:rsid w:val="2D1451D4"/>
    <w:rsid w:val="2E660FDE"/>
    <w:rsid w:val="32937C3D"/>
    <w:rsid w:val="38AC40E6"/>
    <w:rsid w:val="3E4B6833"/>
    <w:rsid w:val="40411713"/>
    <w:rsid w:val="45572DBC"/>
    <w:rsid w:val="46184EB1"/>
    <w:rsid w:val="48324E84"/>
    <w:rsid w:val="49635DB3"/>
    <w:rsid w:val="4DC449AF"/>
    <w:rsid w:val="58426293"/>
    <w:rsid w:val="5A174660"/>
    <w:rsid w:val="5DC13E70"/>
    <w:rsid w:val="5DE24648"/>
    <w:rsid w:val="60D57558"/>
    <w:rsid w:val="623D0FA8"/>
    <w:rsid w:val="62645CF0"/>
    <w:rsid w:val="6A356A3B"/>
    <w:rsid w:val="6E60454E"/>
    <w:rsid w:val="70CC1557"/>
    <w:rsid w:val="73194153"/>
    <w:rsid w:val="76067942"/>
    <w:rsid w:val="7E5330D4"/>
    <w:rsid w:val="7EFF65C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rPr>
      <w:rFonts w:ascii="Times New Roman" w:hAnsi="Times New Roman"/>
      <w:szCs w:val="24"/>
    </w:rPr>
  </w:style>
  <w:style w:type="paragraph" w:styleId="3">
    <w:name w:val="Balloon Text"/>
    <w:basedOn w:val="1"/>
    <w:link w:val="13"/>
    <w:qFormat/>
    <w:uiPriority w:val="99"/>
    <w:rPr>
      <w:rFonts w:ascii="Times New Roman" w:hAnsi="Times New Roman"/>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basedOn w:val="8"/>
    <w:qFormat/>
    <w:locked/>
    <w:uiPriority w:val="22"/>
    <w:rPr>
      <w:b/>
      <w:bCs/>
    </w:rPr>
  </w:style>
  <w:style w:type="character" w:styleId="10">
    <w:name w:val="page number"/>
    <w:basedOn w:val="8"/>
    <w:qFormat/>
    <w:uiPriority w:val="99"/>
    <w:rPr>
      <w:rFonts w:cs="Times New Roman"/>
    </w:rPr>
  </w:style>
  <w:style w:type="character" w:styleId="11">
    <w:name w:val="annotation reference"/>
    <w:basedOn w:val="8"/>
    <w:qFormat/>
    <w:uiPriority w:val="99"/>
    <w:rPr>
      <w:rFonts w:cs="Times New Roman"/>
      <w:sz w:val="21"/>
      <w:szCs w:val="21"/>
    </w:rPr>
  </w:style>
  <w:style w:type="character" w:customStyle="1" w:styleId="12">
    <w:name w:val="批注文字 Char"/>
    <w:basedOn w:val="8"/>
    <w:link w:val="2"/>
    <w:qFormat/>
    <w:locked/>
    <w:uiPriority w:val="99"/>
    <w:rPr>
      <w:rFonts w:ascii="Times New Roman" w:hAnsi="Times New Roman" w:eastAsia="宋体" w:cs="Times New Roman"/>
      <w:sz w:val="24"/>
      <w:szCs w:val="24"/>
    </w:rPr>
  </w:style>
  <w:style w:type="character" w:customStyle="1" w:styleId="13">
    <w:name w:val="批注框文本 Char"/>
    <w:basedOn w:val="8"/>
    <w:link w:val="3"/>
    <w:qFormat/>
    <w:locked/>
    <w:uiPriority w:val="99"/>
    <w:rPr>
      <w:rFonts w:ascii="Times New Roman" w:hAnsi="Times New Roman" w:eastAsia="宋体" w:cs="Times New Roman"/>
      <w:sz w:val="18"/>
      <w:szCs w:val="18"/>
    </w:rPr>
  </w:style>
  <w:style w:type="character" w:customStyle="1" w:styleId="14">
    <w:name w:val="页脚 Char"/>
    <w:basedOn w:val="8"/>
    <w:link w:val="4"/>
    <w:qFormat/>
    <w:locked/>
    <w:uiPriority w:val="99"/>
    <w:rPr>
      <w:rFonts w:cs="Times New Roman"/>
      <w:sz w:val="18"/>
      <w:szCs w:val="18"/>
    </w:rPr>
  </w:style>
  <w:style w:type="character" w:customStyle="1" w:styleId="15">
    <w:name w:val="页眉 Char"/>
    <w:basedOn w:val="8"/>
    <w:link w:val="5"/>
    <w:qFormat/>
    <w:locked/>
    <w:uiPriority w:val="99"/>
    <w:rPr>
      <w:rFonts w:cs="Times New Roman"/>
      <w:sz w:val="18"/>
      <w:szCs w:val="18"/>
    </w:rPr>
  </w:style>
  <w:style w:type="paragraph" w:customStyle="1" w:styleId="16">
    <w:name w:val="列出段落1"/>
    <w:basedOn w:val="1"/>
    <w:qFormat/>
    <w:uiPriority w:val="99"/>
    <w:pPr>
      <w:ind w:firstLine="420" w:firstLineChars="200"/>
    </w:pPr>
    <w:rPr>
      <w:rFonts w:ascii="Times New Roman" w:hAnsi="Times New Roman"/>
      <w:szCs w:val="24"/>
    </w:rPr>
  </w:style>
  <w:style w:type="paragraph" w:styleId="17">
    <w:name w:val="List Paragraph"/>
    <w:basedOn w:val="1"/>
    <w:qFormat/>
    <w:uiPriority w:val="99"/>
    <w:pPr>
      <w:ind w:firstLine="420" w:firstLineChars="200"/>
    </w:pPr>
    <w:rPr>
      <w:rFonts w:ascii="Times New Roman" w:hAnsi="Times New Roman"/>
      <w:szCs w:val="24"/>
    </w:rPr>
  </w:style>
  <w:style w:type="paragraph" w:customStyle="1" w:styleId="18">
    <w:name w:val="修订1"/>
    <w: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19</Pages>
  <Words>5687</Words>
  <Characters>6494</Characters>
  <Lines>45</Lines>
  <Paragraphs>12</Paragraphs>
  <TotalTime>4</TotalTime>
  <ScaleCrop>false</ScaleCrop>
  <LinksUpToDate>false</LinksUpToDate>
  <CharactersWithSpaces>6969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2021-03-04T00:24:00Z</dcterms:created>
  <dc:creator>lenovo</dc:creator>
  <cp:lastModifiedBy>邓婷</cp:lastModifiedBy>
  <cp:lastPrinted>2023-04-04T03:25:00Z</cp:lastPrinted>
  <dcterms:modified xsi:type="dcterms:W3CDTF">2024-08-06T07:52:46Z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20FCA24B3F624CAB8BD61DF3632884E8</vt:lpwstr>
  </property>
</Properties>
</file>